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napToGrid w:val="0"/>
        <w:spacing w:before="120" w:after="120" w:line="360" w:lineRule="auto"/>
        <w:jc w:val="left"/>
        <w:rPr>
          <w:rFonts w:ascii="黑体" w:hAnsi="黑体" w:eastAsia="黑体" w:cs="黑体"/>
          <w:color w:val="000000"/>
          <w:sz w:val="32"/>
          <w:szCs w:val="32"/>
        </w:rPr>
      </w:pPr>
      <w:bookmarkStart w:id="0" w:name="_Toc24494"/>
      <w:r>
        <w:rPr>
          <w:rFonts w:hint="eastAsia" w:ascii="黑体" w:hAnsi="黑体" w:eastAsia="黑体" w:cs="黑体"/>
          <w:sz w:val="32"/>
          <w:szCs w:val="32"/>
        </w:rPr>
        <w:t>附表2</w:t>
      </w:r>
      <w:bookmarkEnd w:id="0"/>
    </w:p>
    <w:p>
      <w:pPr>
        <w:pStyle w:val="2"/>
        <w:widowControl/>
        <w:snapToGrid w:val="0"/>
        <w:spacing w:before="120" w:after="120" w:line="360" w:lineRule="auto"/>
        <w:jc w:val="center"/>
        <w:rPr>
          <w:rFonts w:ascii="黑体" w:hAnsi="黑体" w:eastAsia="黑体" w:cs="黑体"/>
          <w:b w:val="0"/>
          <w:bCs/>
          <w:color w:val="FF0000"/>
          <w:kern w:val="0"/>
          <w:sz w:val="32"/>
          <w:szCs w:val="32"/>
        </w:rPr>
      </w:pPr>
      <w:bookmarkStart w:id="1" w:name="_GoBack"/>
      <w:r>
        <w:rPr>
          <w:rFonts w:hint="eastAsia" w:ascii="黑体" w:hAnsi="黑体" w:eastAsia="黑体" w:cs="黑体"/>
          <w:b/>
          <w:color w:val="FF0000"/>
          <w:sz w:val="32"/>
          <w:szCs w:val="32"/>
        </w:rPr>
        <w:t>产业平台布局指引</w:t>
      </w:r>
    </w:p>
    <w:bookmarkEnd w:id="1"/>
    <w:tbl>
      <w:tblPr>
        <w:tblStyle w:val="3"/>
        <w:tblW w:w="4988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059"/>
        <w:gridCol w:w="1685"/>
        <w:gridCol w:w="713"/>
        <w:gridCol w:w="1864"/>
        <w:gridCol w:w="3006"/>
        <w:gridCol w:w="738"/>
        <w:gridCol w:w="691"/>
        <w:gridCol w:w="681"/>
        <w:gridCol w:w="619"/>
        <w:gridCol w:w="685"/>
        <w:gridCol w:w="762"/>
        <w:gridCol w:w="72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Header/>
        </w:trPr>
        <w:tc>
          <w:tcPr>
            <w:tcW w:w="259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平台名称</w:t>
            </w:r>
          </w:p>
        </w:tc>
        <w:tc>
          <w:tcPr>
            <w:tcW w:w="1237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核心区</w:t>
            </w:r>
          </w:p>
        </w:tc>
        <w:tc>
          <w:tcPr>
            <w:tcW w:w="668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功能定位</w:t>
            </w:r>
          </w:p>
        </w:tc>
        <w:tc>
          <w:tcPr>
            <w:tcW w:w="107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产业发展方向</w:t>
            </w:r>
          </w:p>
        </w:tc>
        <w:tc>
          <w:tcPr>
            <w:tcW w:w="1757" w:type="pct"/>
            <w:gridSpan w:val="7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产业准入指导性指标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tblHeader/>
        </w:trPr>
        <w:tc>
          <w:tcPr>
            <w:tcW w:w="2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982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四至范围</w:t>
            </w:r>
          </w:p>
        </w:tc>
        <w:tc>
          <w:tcPr>
            <w:tcW w:w="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规划面积（平方公里）</w:t>
            </w:r>
          </w:p>
        </w:tc>
        <w:tc>
          <w:tcPr>
            <w:tcW w:w="668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107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26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单位用地投资强度（万元/亩）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单位用地产值（万元/亩）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亩均税收（万元/亩）</w:t>
            </w:r>
          </w:p>
        </w:tc>
        <w:tc>
          <w:tcPr>
            <w:tcW w:w="22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容积率</w:t>
            </w:r>
          </w:p>
        </w:tc>
        <w:tc>
          <w:tcPr>
            <w:tcW w:w="2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R&amp;D经费支出与主营业务收入之比（%）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单位能耗增加值（万元/吨标准煤）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单位排放增加值（万元 /吨）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5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top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江海之城</w:t>
            </w:r>
          </w:p>
        </w:tc>
        <w:tc>
          <w:tcPr>
            <w:tcW w:w="982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东至头蓬快速路、南至钱塘快速路、西至河庄大道、北至江东一路。</w:t>
            </w:r>
          </w:p>
        </w:tc>
        <w:tc>
          <w:tcPr>
            <w:tcW w:w="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  <w:t>24.5</w:t>
            </w:r>
          </w:p>
        </w:tc>
        <w:tc>
          <w:tcPr>
            <w:tcW w:w="6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产城融合、职住平衡、生态宜居、交通便利的未来城镇先行实践区。</w:t>
            </w:r>
          </w:p>
        </w:tc>
        <w:tc>
          <w:tcPr>
            <w:tcW w:w="10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科创、商务、总部经济、现代金融、公共服务、文化休闲等。</w:t>
            </w:r>
          </w:p>
        </w:tc>
        <w:tc>
          <w:tcPr>
            <w:tcW w:w="26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2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25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钱塘科学城</w:t>
            </w:r>
          </w:p>
        </w:tc>
        <w:tc>
          <w:tcPr>
            <w:tcW w:w="982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以环大学城区域为核心，涵盖下沙高教园区、大创小镇、医药港小镇、综合保税区，辐射带动钱塘全域。</w:t>
            </w:r>
          </w:p>
        </w:tc>
        <w:tc>
          <w:tcPr>
            <w:tcW w:w="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6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以人才集聚、科技创新为特色，集创业、学习、生活为一体的现代都市新城区。</w:t>
            </w:r>
          </w:p>
        </w:tc>
        <w:tc>
          <w:tcPr>
            <w:tcW w:w="10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物联网、云计算、大数据、人工智能、虚拟现实、增材制造等未来产业。</w:t>
            </w:r>
          </w:p>
        </w:tc>
        <w:tc>
          <w:tcPr>
            <w:tcW w:w="26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2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25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杭州美丽云城</w:t>
            </w:r>
          </w:p>
        </w:tc>
        <w:tc>
          <w:tcPr>
            <w:tcW w:w="982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钱塘区全域。</w:t>
            </w:r>
          </w:p>
        </w:tc>
        <w:tc>
          <w:tcPr>
            <w:tcW w:w="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6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10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美服、美图、美妆、美食、美生活等美丽经济产业。</w:t>
            </w:r>
          </w:p>
        </w:tc>
        <w:tc>
          <w:tcPr>
            <w:tcW w:w="26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2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5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杭州医药港</w:t>
            </w:r>
          </w:p>
        </w:tc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北区块（医药港小镇规划及拓展区）</w:t>
            </w:r>
          </w:p>
        </w:tc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东至文渊路，南至德胜快速路，西至运河二通道，北至新建河。</w:t>
            </w:r>
          </w:p>
        </w:tc>
        <w:tc>
          <w:tcPr>
            <w:tcW w:w="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  <w:t>7.6</w:t>
            </w:r>
          </w:p>
        </w:tc>
        <w:tc>
          <w:tcPr>
            <w:tcW w:w="668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生物医药万亩千亿产业大平台。</w:t>
            </w:r>
          </w:p>
        </w:tc>
        <w:tc>
          <w:tcPr>
            <w:tcW w:w="107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生物医药、高性能医疗器械、数字医疗和健康食品。</w:t>
            </w:r>
          </w:p>
        </w:tc>
        <w:tc>
          <w:tcPr>
            <w:tcW w:w="26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  <w:t>≥8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  <w:t>00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Style w:val="5"/>
                <w:rFonts w:hint="default" w:ascii="Times New Roman" w:hAnsi="Times New Roman" w:cs="Times New Roman"/>
                <w:bCs/>
                <w:sz w:val="20"/>
                <w:szCs w:val="20"/>
              </w:rPr>
              <w:t>1000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  <w:t>≥80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22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  <w:t>≥2.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  <w:t>2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2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Style w:val="5"/>
                <w:rFonts w:hint="default" w:ascii="Times New Roman" w:hAnsi="Times New Roman" w:cs="Times New Roman"/>
                <w:bCs/>
                <w:sz w:val="20"/>
                <w:szCs w:val="20"/>
              </w:rPr>
              <w:t>2.</w:t>
            </w:r>
            <w:r>
              <w:rPr>
                <w:rStyle w:val="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531" w:type="pct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《杭州市企业投资工业项目"标准地"工作指引（2021年修订部分）》，能耗控制指标值、污染物排放控制指标值执行相关行业管控标准。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  <w:t>参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照《杭州市企业投资工业项目"标准地"工作指引（2021年修订部分）》，能耗控制指标值、污染物排放控制指标值执行相关行业管控标准。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  <w:t>参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照《杭州市企业投资工业项目"标准地"工作指引（2021年修订部分）》，能耗控制指标值、污染物排放控制指标值执行相关行业管控标准。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59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杭州医药港</w:t>
            </w:r>
          </w:p>
        </w:tc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前进区块（成果产业化基地）</w:t>
            </w:r>
          </w:p>
        </w:tc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东至前进大道，南至江东六路，西至梅林大道，北至滨江二路－围垦沿塘河。</w:t>
            </w:r>
          </w:p>
        </w:tc>
        <w:tc>
          <w:tcPr>
            <w:tcW w:w="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  <w:t>2.3</w:t>
            </w:r>
          </w:p>
        </w:tc>
        <w:tc>
          <w:tcPr>
            <w:tcW w:w="668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07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Style w:val="5"/>
                <w:rFonts w:hint="default"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Style w:val="5"/>
                <w:rFonts w:hint="default"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Style w:val="5"/>
                <w:rFonts w:hint="default"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22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Style w:val="5"/>
                <w:rFonts w:ascii="Times New Roman" w:hAnsi="Times New Roman" w:cs="Times New Roman"/>
                <w:bCs/>
                <w:sz w:val="20"/>
                <w:szCs w:val="20"/>
              </w:rPr>
              <w:t>2.0</w:t>
            </w:r>
          </w:p>
        </w:tc>
        <w:tc>
          <w:tcPr>
            <w:tcW w:w="24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  <w:t>≥2</w:t>
            </w:r>
          </w:p>
        </w:tc>
        <w:tc>
          <w:tcPr>
            <w:tcW w:w="531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</w:trPr>
        <w:tc>
          <w:tcPr>
            <w:tcW w:w="2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南区块（金沙湖商务区）</w:t>
            </w:r>
          </w:p>
        </w:tc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东至文渊路，西至运河二通道，北至德胜高架，南至下沙路。</w:t>
            </w:r>
          </w:p>
        </w:tc>
        <w:tc>
          <w:tcPr>
            <w:tcW w:w="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  <w:t>8.5</w:t>
            </w:r>
          </w:p>
        </w:tc>
        <w:tc>
          <w:tcPr>
            <w:tcW w:w="6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城市中央商务区和智慧商圈。</w:t>
            </w:r>
          </w:p>
        </w:tc>
        <w:tc>
          <w:tcPr>
            <w:tcW w:w="10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楼宇经济及科技研发、检验检测、软件信息等生产性服务业，建设国家检验检测高技术服务业集聚区（杭州园区）核心区。</w:t>
            </w:r>
          </w:p>
        </w:tc>
        <w:tc>
          <w:tcPr>
            <w:tcW w:w="2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222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24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531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5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杭州大创小镇</w:t>
            </w:r>
          </w:p>
        </w:tc>
        <w:tc>
          <w:tcPr>
            <w:tcW w:w="982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东至二十五号大街，东北至宝龙广场、高教东公园，北至二号大街，南至十号大街，西至九号大街－四号大街－文溯路－十一号大街。</w:t>
            </w:r>
          </w:p>
        </w:tc>
        <w:tc>
          <w:tcPr>
            <w:tcW w:w="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  <w:t>3.8</w:t>
            </w:r>
          </w:p>
        </w:tc>
        <w:tc>
          <w:tcPr>
            <w:tcW w:w="6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打造数字经济、校友经济、人才集聚、创新创业、总部经济五个高地。</w:t>
            </w:r>
          </w:p>
        </w:tc>
        <w:tc>
          <w:tcPr>
            <w:tcW w:w="10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双创、人才科技项目和总部经济。</w:t>
            </w:r>
          </w:p>
        </w:tc>
        <w:tc>
          <w:tcPr>
            <w:tcW w:w="26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  <w:t>≥8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Style w:val="5"/>
                <w:rFonts w:hint="default"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  <w:t>≥80</w:t>
            </w:r>
          </w:p>
        </w:tc>
        <w:tc>
          <w:tcPr>
            <w:tcW w:w="22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  <w:t>≥2.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Style w:val="5"/>
                <w:rFonts w:hint="default" w:ascii="Times New Roman" w:hAnsi="Times New Roman" w:cs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531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3" w:hRule="atLeast"/>
        </w:trPr>
        <w:tc>
          <w:tcPr>
            <w:tcW w:w="25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杭州综合保税区</w:t>
            </w:r>
          </w:p>
        </w:tc>
        <w:tc>
          <w:tcPr>
            <w:tcW w:w="982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东至二十一号大街，南至二十号大街，西至绕城高速公路，北至十二号大街。</w:t>
            </w:r>
          </w:p>
        </w:tc>
        <w:tc>
          <w:tcPr>
            <w:tcW w:w="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  <w:t>2.0</w:t>
            </w:r>
          </w:p>
        </w:tc>
        <w:tc>
          <w:tcPr>
            <w:tcW w:w="6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全省战略性、前瞻性、标志性对外开放平台。</w:t>
            </w:r>
          </w:p>
        </w:tc>
        <w:tc>
          <w:tcPr>
            <w:tcW w:w="10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以跨境电商、综合保税、临空经济、转口贸易和出口加工为基础，以融入“一带一路”建设为突破口，构建以保税新制造、跨境电商、智慧物流、研发检测中心为主导，现代金融，设计维修、跨境新零售和国际合作为支撑的“保税＋”新业态，推进自贸区钱塘区块和eWTP建设。</w:t>
            </w:r>
          </w:p>
        </w:tc>
        <w:tc>
          <w:tcPr>
            <w:tcW w:w="26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  <w:t>≥8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Style w:val="5"/>
                <w:rFonts w:hint="default"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2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  <w:t>≥2.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Style w:val="5"/>
                <w:rFonts w:hint="default" w:ascii="Times New Roman" w:hAnsi="Times New Roman" w:cs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531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25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杭州钱塘芯谷</w:t>
            </w:r>
          </w:p>
        </w:tc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江东区块西北部区块</w:t>
            </w:r>
          </w:p>
        </w:tc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东至六工段直河，南至江东一路，西至靖江路，北至滨江二路。</w:t>
            </w:r>
          </w:p>
        </w:tc>
        <w:tc>
          <w:tcPr>
            <w:tcW w:w="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  <w:t>15.6</w:t>
            </w:r>
          </w:p>
        </w:tc>
        <w:tc>
          <w:tcPr>
            <w:tcW w:w="6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半导体千亿产业大平台和杭州的芯片之城。</w:t>
            </w:r>
          </w:p>
        </w:tc>
        <w:tc>
          <w:tcPr>
            <w:tcW w:w="10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以半导体产业、未来产业为主导方向，重点发展集成电路、柔性电子显示、智能终端、人工智能、5G、虚拟显示、区块链、增材制造等产业。</w:t>
            </w:r>
          </w:p>
        </w:tc>
        <w:tc>
          <w:tcPr>
            <w:tcW w:w="26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Style w:val="5"/>
                <w:rFonts w:hint="default"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Style w:val="5"/>
                <w:rFonts w:hint="default"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  <w:t>≥40</w:t>
            </w:r>
          </w:p>
        </w:tc>
        <w:tc>
          <w:tcPr>
            <w:tcW w:w="22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Style w:val="5"/>
                <w:rFonts w:ascii="Times New Roman" w:hAnsi="Times New Roman" w:cs="Times New Roman"/>
                <w:bCs/>
                <w:sz w:val="20"/>
                <w:szCs w:val="20"/>
              </w:rPr>
              <w:t>2.0</w:t>
            </w:r>
          </w:p>
        </w:tc>
        <w:tc>
          <w:tcPr>
            <w:tcW w:w="2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  <w:highlight w:val="yellow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  <w:t>≥2</w:t>
            </w:r>
          </w:p>
        </w:tc>
        <w:tc>
          <w:tcPr>
            <w:tcW w:w="531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25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杭州临江高科园</w:t>
            </w:r>
          </w:p>
        </w:tc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北区块</w:t>
            </w:r>
          </w:p>
        </w:tc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东至十工段直河，西至新世纪大道，北至江东大道。</w:t>
            </w:r>
          </w:p>
        </w:tc>
        <w:tc>
          <w:tcPr>
            <w:tcW w:w="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  <w:t>8.1</w:t>
            </w:r>
          </w:p>
        </w:tc>
        <w:tc>
          <w:tcPr>
            <w:tcW w:w="668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新材料千亿产业大平台。</w:t>
            </w:r>
          </w:p>
        </w:tc>
        <w:tc>
          <w:tcPr>
            <w:tcW w:w="107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重点发展高端精细化工、关键战略材料、前沿新材料、先进基础材料等产业。</w:t>
            </w:r>
          </w:p>
        </w:tc>
        <w:tc>
          <w:tcPr>
            <w:tcW w:w="26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Style w:val="5"/>
                <w:rFonts w:hint="default"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  <w:t>≥850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Style w:val="5"/>
                <w:rFonts w:hint="default"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2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Style w:val="5"/>
                <w:rFonts w:ascii="Times New Roman" w:hAnsi="Times New Roman" w:cs="Times New Roman"/>
                <w:bCs/>
                <w:sz w:val="20"/>
                <w:szCs w:val="20"/>
              </w:rPr>
              <w:t>2.0</w:t>
            </w:r>
          </w:p>
        </w:tc>
        <w:tc>
          <w:tcPr>
            <w:tcW w:w="2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Style w:val="5"/>
                <w:rFonts w:hint="default" w:ascii="Times New Roman" w:hAnsi="Times New Roman" w:cs="Times New Roman"/>
                <w:bCs/>
                <w:sz w:val="20"/>
                <w:szCs w:val="20"/>
              </w:rPr>
              <w:t>1.5</w:t>
            </w:r>
          </w:p>
        </w:tc>
        <w:tc>
          <w:tcPr>
            <w:tcW w:w="531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</w:trPr>
        <w:tc>
          <w:tcPr>
            <w:tcW w:w="25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杭州临江高科园</w:t>
            </w:r>
          </w:p>
        </w:tc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南区块</w:t>
            </w:r>
          </w:p>
        </w:tc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临江街道东南部，包括恒逸、龙山化工等。</w:t>
            </w:r>
          </w:p>
        </w:tc>
        <w:tc>
          <w:tcPr>
            <w:tcW w:w="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  <w:t>13.9</w:t>
            </w:r>
          </w:p>
        </w:tc>
        <w:tc>
          <w:tcPr>
            <w:tcW w:w="668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07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6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Style w:val="5"/>
                <w:rFonts w:hint="default"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  <w:t>≥850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Style w:val="5"/>
                <w:rFonts w:hint="default"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2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Style w:val="5"/>
                <w:rFonts w:ascii="Times New Roman" w:hAnsi="Times New Roman" w:cs="Times New Roman"/>
                <w:bCs/>
                <w:sz w:val="20"/>
                <w:szCs w:val="20"/>
              </w:rPr>
              <w:t>2.0</w:t>
            </w:r>
          </w:p>
        </w:tc>
        <w:tc>
          <w:tcPr>
            <w:tcW w:w="2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Style w:val="5"/>
                <w:rFonts w:hint="default" w:ascii="Times New Roman" w:hAnsi="Times New Roman" w:cs="Times New Roman"/>
                <w:bCs/>
                <w:sz w:val="20"/>
                <w:szCs w:val="20"/>
              </w:rPr>
              <w:t>1.5</w:t>
            </w:r>
          </w:p>
        </w:tc>
        <w:tc>
          <w:tcPr>
            <w:tcW w:w="531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5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杭州前进智造园</w:t>
            </w:r>
          </w:p>
        </w:tc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江东区块东北部区块（不含杭州医药港万亩千亿平台范围的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2.3平方公里）</w:t>
            </w:r>
          </w:p>
        </w:tc>
        <w:tc>
          <w:tcPr>
            <w:tcW w:w="60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东至九工段横河，南至江东一路，西至苏绍高速，北至规划滨江二路。</w:t>
            </w:r>
          </w:p>
        </w:tc>
        <w:tc>
          <w:tcPr>
            <w:tcW w:w="2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Cs w:val="21"/>
              </w:rPr>
              <w:t>22.6</w:t>
            </w:r>
          </w:p>
        </w:tc>
        <w:tc>
          <w:tcPr>
            <w:tcW w:w="66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航空航天万亩千亿产业大平台和汽车及零部件千亿级产业平台。</w:t>
            </w:r>
          </w:p>
        </w:tc>
        <w:tc>
          <w:tcPr>
            <w:tcW w:w="10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以前进区块现有产业为基础，重点发展智能制造、航空航天、汽车及零部件、智能机器人、高端数控机床、智能家电、智能专用装备等产业。</w:t>
            </w:r>
          </w:p>
        </w:tc>
        <w:tc>
          <w:tcPr>
            <w:tcW w:w="26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Style w:val="5"/>
                <w:rFonts w:hint="default"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Style w:val="5"/>
                <w:rFonts w:hint="default"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Style w:val="5"/>
                <w:rFonts w:hint="default"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2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Style w:val="5"/>
                <w:rFonts w:ascii="Times New Roman" w:hAnsi="Times New Roman" w:cs="Times New Roman"/>
                <w:bCs/>
                <w:sz w:val="20"/>
                <w:szCs w:val="20"/>
              </w:rPr>
              <w:t>2.0</w:t>
            </w:r>
          </w:p>
        </w:tc>
        <w:tc>
          <w:tcPr>
            <w:tcW w:w="2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</w:rPr>
              <w:t>≥2</w:t>
            </w:r>
          </w:p>
        </w:tc>
        <w:tc>
          <w:tcPr>
            <w:tcW w:w="531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FCF24"/>
    <w:rsid w:val="5FFFC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basedOn w:val="4"/>
    <w:qFormat/>
    <w:uiPriority w:val="0"/>
    <w:rPr>
      <w:rFonts w:hint="eastAsia" w:ascii="仿宋_GB2312" w:eastAsia="仿宋_GB2312" w:cs="仿宋_GB2312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2022-03-11T10:35:00Z</dcterms:created>
  <dc:creator>user</dc:creator>
  <cp:lastModifiedBy>user</cp:lastModifiedBy>
  <dcterms:modified xsi:type="dcterms:W3CDTF">2022-03-11T10:35:49Z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