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优抚对象补助资金市县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绩效目标表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t>（2021年度）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default" w:ascii="仿宋_GB2312" w:eastAsia="仿宋_GB2312"/>
          <w:sz w:val="28"/>
          <w:szCs w:val="28"/>
          <w:vertAlign w:val="baseline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969"/>
        <w:gridCol w:w="1"/>
        <w:gridCol w:w="1474"/>
        <w:gridCol w:w="100"/>
        <w:gridCol w:w="2433"/>
        <w:gridCol w:w="1309"/>
        <w:gridCol w:w="117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中央优抚对象补助资金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  <w:lang w:bidi="ar"/>
              </w:rPr>
              <w:t>退役军人事务部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浙江省财政厅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浙江省退役军人事务厅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县（市、区）财政局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市县主管部门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ind w:firstLine="2520" w:firstLineChars="1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ind w:firstLine="2520" w:firstLineChars="1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省级补助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地方资金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年度总体目标 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通过发放优抚对象补助资金，使优抚对象等人员的基本生活得到有效保障。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优抚对象补助资金发放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人数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根据各地决算数据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质量指标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经费足额拨付率</w:t>
            </w:r>
          </w:p>
        </w:tc>
        <w:tc>
          <w:tcPr>
            <w:tcW w:w="11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各类优抚对象补助标准按规定执行率</w:t>
            </w:r>
          </w:p>
        </w:tc>
        <w:tc>
          <w:tcPr>
            <w:tcW w:w="11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时效指标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优抚对象补助资金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及时拨付率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效益指标 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优抚对象生活改善情况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               满意度指标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优抚对象满意率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</w:tbl>
    <w:p>
      <w:r>
        <w:rPr>
          <w:rFonts w:hint="eastAsia" w:ascii="仿宋_GB2312" w:hAnsi="仿宋_GB2312" w:eastAsia="仿宋_GB2312" w:cs="仿宋_GB2312"/>
          <w:i w:val="0"/>
          <w:color w:val="000000"/>
          <w:sz w:val="21"/>
          <w:szCs w:val="21"/>
          <w:u w:val="none"/>
          <w:lang w:val="en-US" w:eastAsia="zh-CN"/>
        </w:rPr>
        <w:t>注：各地区根据本地分配资金情况，选择相应指标组成本地绩效目标。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2021-04-09T02:01:13Z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09A859E493FA462FA32238C20F7DE9F0</vt:lpwstr>
  </property>
</Properties>
</file>