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ascii="方正小标宋简体" w:hAnsi="宋体" w:eastAsia="方正小标宋简体" w:cs="方正小标宋简体"/>
          <w:sz w:val="44"/>
          <w:szCs w:val="44"/>
        </w:rPr>
      </w:pPr>
      <w:bookmarkStart w:id="0" w:name="_GoBack"/>
      <w:bookmarkEnd w:id="0"/>
      <w:r>
        <w:rPr>
          <w:rFonts w:hint="eastAsia" w:ascii="黑体" w:hAnsi="黑体" w:eastAsia="黑体" w:cs="黑体"/>
          <w:sz w:val="32"/>
          <w:szCs w:val="32"/>
        </w:rPr>
        <w:t>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right="0" w:firstLine="880" w:firstLineChars="200"/>
        <w:jc w:val="center"/>
        <w:rPr>
          <w:rFonts w:hint="eastAsia" w:ascii="方正小标宋简体" w:hAnsi="宋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杭州市</w:t>
      </w:r>
      <w:r>
        <w:rPr>
          <w:rFonts w:hint="eastAsia" w:ascii="方正小标宋简体" w:hAnsi="方正小标宋简体" w:eastAsia="方正小标宋简体" w:cs="方正小标宋简体"/>
          <w:color w:val="000000"/>
          <w:sz w:val="44"/>
          <w:szCs w:val="44"/>
          <w:lang w:eastAsia="zh-CN"/>
        </w:rPr>
        <w:t>钱塘区教育局</w:t>
      </w:r>
      <w:r>
        <w:rPr>
          <w:rFonts w:hint="eastAsia" w:ascii="方正小标宋简体" w:hAnsi="方正小标宋简体" w:eastAsia="方正小标宋简体" w:cs="方正小标宋简体"/>
          <w:color w:val="000000"/>
          <w:sz w:val="44"/>
          <w:szCs w:val="44"/>
        </w:rPr>
        <w:t>2021年度重大行政决策事项目录</w:t>
      </w:r>
    </w:p>
    <w:tbl>
      <w:tblPr>
        <w:tblStyle w:val="5"/>
        <w:tblW w:w="14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2565"/>
        <w:gridCol w:w="2145"/>
        <w:gridCol w:w="4120"/>
        <w:gridCol w:w="1475"/>
        <w:gridCol w:w="3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908"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黑体" w:hAnsi="黑体" w:eastAsia="黑体"/>
                <w:color w:val="000000"/>
                <w:sz w:val="28"/>
                <w:szCs w:val="28"/>
              </w:rPr>
            </w:pPr>
            <w:r>
              <w:rPr>
                <w:rFonts w:hint="eastAsia" w:ascii="黑体" w:hAnsi="黑体" w:eastAsia="黑体" w:cs="黑体"/>
                <w:color w:val="000000"/>
                <w:sz w:val="28"/>
                <w:szCs w:val="28"/>
              </w:rPr>
              <w:t>序号</w:t>
            </w:r>
          </w:p>
        </w:tc>
        <w:tc>
          <w:tcPr>
            <w:tcW w:w="256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黑体" w:hAnsi="黑体" w:eastAsia="黑体"/>
                <w:color w:val="000000"/>
                <w:sz w:val="28"/>
                <w:szCs w:val="28"/>
              </w:rPr>
            </w:pPr>
            <w:r>
              <w:rPr>
                <w:rFonts w:hint="eastAsia" w:ascii="黑体" w:hAnsi="黑体" w:eastAsia="黑体" w:cs="黑体"/>
                <w:color w:val="000000"/>
                <w:sz w:val="28"/>
                <w:szCs w:val="28"/>
              </w:rPr>
              <w:t>决策事项名称</w:t>
            </w:r>
          </w:p>
        </w:tc>
        <w:tc>
          <w:tcPr>
            <w:tcW w:w="214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黑体" w:hAnsi="黑体" w:eastAsia="黑体"/>
                <w:color w:val="000000"/>
                <w:sz w:val="28"/>
                <w:szCs w:val="28"/>
              </w:rPr>
            </w:pPr>
            <w:r>
              <w:rPr>
                <w:rFonts w:hint="eastAsia" w:ascii="黑体" w:hAnsi="黑体" w:eastAsia="黑体" w:cs="黑体"/>
                <w:color w:val="000000"/>
                <w:sz w:val="28"/>
                <w:szCs w:val="28"/>
              </w:rPr>
              <w:t>承办单位</w:t>
            </w:r>
          </w:p>
        </w:tc>
        <w:tc>
          <w:tcPr>
            <w:tcW w:w="412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黑体" w:hAnsi="黑体" w:eastAsia="黑体"/>
                <w:color w:val="000000"/>
                <w:sz w:val="28"/>
                <w:szCs w:val="28"/>
              </w:rPr>
            </w:pPr>
            <w:r>
              <w:rPr>
                <w:rFonts w:hint="eastAsia" w:ascii="黑体" w:hAnsi="黑体" w:eastAsia="黑体" w:cs="黑体"/>
                <w:color w:val="000000"/>
                <w:sz w:val="28"/>
                <w:szCs w:val="28"/>
              </w:rPr>
              <w:t>制定依据</w:t>
            </w:r>
          </w:p>
        </w:tc>
        <w:tc>
          <w:tcPr>
            <w:tcW w:w="1475"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黑体" w:hAnsi="黑体" w:eastAsia="黑体"/>
                <w:color w:val="000000"/>
                <w:sz w:val="28"/>
                <w:szCs w:val="28"/>
              </w:rPr>
            </w:pPr>
            <w:r>
              <w:rPr>
                <w:rFonts w:hint="eastAsia" w:ascii="黑体" w:hAnsi="黑体" w:eastAsia="黑体" w:cs="黑体"/>
                <w:color w:val="000000"/>
                <w:sz w:val="28"/>
                <w:szCs w:val="28"/>
              </w:rPr>
              <w:t>计划完成时间</w:t>
            </w:r>
          </w:p>
        </w:tc>
        <w:tc>
          <w:tcPr>
            <w:tcW w:w="306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黑体" w:hAnsi="黑体" w:eastAsia="黑体"/>
                <w:color w:val="000000"/>
                <w:sz w:val="28"/>
                <w:szCs w:val="28"/>
              </w:rPr>
            </w:pPr>
            <w:r>
              <w:rPr>
                <w:rFonts w:hint="eastAsia" w:ascii="黑体" w:hAnsi="黑体" w:eastAsia="黑体" w:cs="黑体"/>
                <w:color w:val="000000"/>
                <w:sz w:val="28"/>
                <w:szCs w:val="28"/>
              </w:rPr>
              <w:t>实施计划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7" w:hRule="atLeast"/>
          <w:jc w:val="center"/>
        </w:trPr>
        <w:tc>
          <w:tcPr>
            <w:tcW w:w="908" w:type="dxa"/>
            <w:noWrap w:val="0"/>
            <w:vAlign w:val="top"/>
          </w:tcPr>
          <w:p>
            <w:pPr>
              <w:widowControl/>
              <w:jc w:val="center"/>
              <w:rPr>
                <w:rFonts w:hint="eastAsia" w:ascii="仿宋" w:hAnsi="仿宋" w:eastAsia="仿宋" w:cs="仿宋"/>
                <w:color w:val="000000"/>
                <w:sz w:val="24"/>
                <w:szCs w:val="24"/>
              </w:rPr>
            </w:pPr>
          </w:p>
          <w:p>
            <w:pPr>
              <w:widowControl/>
              <w:jc w:val="center"/>
              <w:rPr>
                <w:rFonts w:hint="eastAsia" w:ascii="仿宋" w:hAnsi="仿宋" w:eastAsia="仿宋" w:cs="仿宋"/>
                <w:color w:val="000000"/>
                <w:sz w:val="24"/>
                <w:szCs w:val="24"/>
                <w:lang w:val="en-US" w:eastAsia="zh-CN"/>
              </w:rPr>
            </w:pPr>
          </w:p>
          <w:p>
            <w:pPr>
              <w:widowControl/>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1</w:t>
            </w:r>
          </w:p>
        </w:tc>
        <w:tc>
          <w:tcPr>
            <w:tcW w:w="2565" w:type="dxa"/>
            <w:noWrap w:val="0"/>
            <w:vAlign w:val="center"/>
          </w:tcPr>
          <w:p>
            <w:pPr>
              <w:widowControl/>
              <w:jc w:val="both"/>
              <w:rPr>
                <w:rFonts w:hint="eastAsia" w:ascii="仿宋" w:hAnsi="仿宋" w:eastAsia="仿宋" w:cs="仿宋"/>
                <w:color w:val="000000"/>
                <w:sz w:val="24"/>
                <w:szCs w:val="24"/>
              </w:rPr>
            </w:pPr>
            <w:r>
              <w:rPr>
                <w:rFonts w:hint="eastAsia" w:ascii="仿宋" w:hAnsi="仿宋" w:eastAsia="仿宋" w:cs="仿宋"/>
                <w:color w:val="000000"/>
                <w:sz w:val="24"/>
                <w:szCs w:val="24"/>
              </w:rPr>
              <w:t>金沙湖实验学校转制为公办学校</w:t>
            </w:r>
          </w:p>
        </w:tc>
        <w:tc>
          <w:tcPr>
            <w:tcW w:w="2145" w:type="dxa"/>
            <w:noWrap w:val="0"/>
            <w:vAlign w:val="center"/>
          </w:tcPr>
          <w:p>
            <w:pPr>
              <w:widowControl/>
              <w:jc w:val="center"/>
              <w:rPr>
                <w:rFonts w:hint="eastAsia" w:ascii="仿宋" w:hAnsi="仿宋" w:eastAsia="仿宋" w:cs="仿宋"/>
                <w:color w:val="000000"/>
                <w:sz w:val="24"/>
                <w:szCs w:val="24"/>
              </w:rPr>
            </w:pPr>
            <w:r>
              <w:rPr>
                <w:rFonts w:hint="eastAsia" w:ascii="仿宋" w:hAnsi="仿宋" w:eastAsia="仿宋" w:cs="仿宋"/>
                <w:color w:val="000000"/>
                <w:sz w:val="24"/>
                <w:szCs w:val="24"/>
              </w:rPr>
              <w:t>教育局</w:t>
            </w:r>
          </w:p>
        </w:tc>
        <w:tc>
          <w:tcPr>
            <w:tcW w:w="4120" w:type="dxa"/>
            <w:noWrap w:val="0"/>
            <w:vAlign w:val="center"/>
          </w:tcPr>
          <w:p>
            <w:pPr>
              <w:widowControl/>
              <w:jc w:val="both"/>
              <w:rPr>
                <w:rFonts w:hint="eastAsia" w:ascii="仿宋" w:hAnsi="仿宋" w:eastAsia="仿宋" w:cs="仿宋"/>
                <w:color w:val="000000"/>
                <w:sz w:val="24"/>
                <w:szCs w:val="24"/>
              </w:rPr>
            </w:pPr>
            <w:r>
              <w:rPr>
                <w:rFonts w:hint="eastAsia" w:ascii="仿宋" w:hAnsi="仿宋" w:eastAsia="仿宋" w:cs="仿宋"/>
                <w:color w:val="000000"/>
                <w:sz w:val="24"/>
                <w:szCs w:val="24"/>
              </w:rPr>
              <w:t>《中华人民共和国义务教育法》《中华人民共和国民办教育促进法》《中华人民共和国民办教育促进法实施条例》</w:t>
            </w:r>
          </w:p>
        </w:tc>
        <w:tc>
          <w:tcPr>
            <w:tcW w:w="1475" w:type="dxa"/>
            <w:noWrap w:val="0"/>
            <w:vAlign w:val="top"/>
          </w:tcPr>
          <w:p>
            <w:pPr>
              <w:widowControl/>
              <w:jc w:val="left"/>
              <w:rPr>
                <w:rFonts w:hint="eastAsia" w:ascii="仿宋" w:hAnsi="仿宋" w:eastAsia="仿宋" w:cs="仿宋"/>
                <w:color w:val="000000"/>
                <w:sz w:val="24"/>
                <w:szCs w:val="24"/>
              </w:rPr>
            </w:pPr>
          </w:p>
          <w:p>
            <w:pPr>
              <w:widowControl/>
              <w:jc w:val="left"/>
              <w:rPr>
                <w:rFonts w:hint="eastAsia" w:ascii="仿宋" w:hAnsi="仿宋" w:eastAsia="仿宋" w:cs="仿宋"/>
                <w:color w:val="000000"/>
                <w:sz w:val="24"/>
                <w:szCs w:val="24"/>
              </w:rPr>
            </w:pPr>
            <w:r>
              <w:rPr>
                <w:rFonts w:hint="eastAsia" w:ascii="仿宋" w:hAnsi="仿宋" w:eastAsia="仿宋" w:cs="仿宋"/>
                <w:color w:val="000000"/>
                <w:sz w:val="24"/>
                <w:szCs w:val="24"/>
              </w:rPr>
              <w:t>2021年5月</w:t>
            </w:r>
          </w:p>
        </w:tc>
        <w:tc>
          <w:tcPr>
            <w:tcW w:w="3067" w:type="dxa"/>
            <w:noWrap w:val="0"/>
            <w:vAlign w:val="center"/>
          </w:tcPr>
          <w:p>
            <w:pPr>
              <w:widowControl/>
              <w:jc w:val="both"/>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2021年2月初完成风险评估；3月完成向社会公开征求意见；5月完成</w:t>
            </w:r>
            <w:r>
              <w:rPr>
                <w:rFonts w:hint="eastAsia" w:ascii="仿宋" w:hAnsi="仿宋" w:eastAsia="仿宋" w:cs="仿宋"/>
                <w:color w:val="000000"/>
                <w:sz w:val="24"/>
                <w:szCs w:val="24"/>
                <w:lang w:eastAsia="zh-CN"/>
              </w:rPr>
              <w:t>专家论证、</w:t>
            </w:r>
            <w:r>
              <w:rPr>
                <w:rFonts w:hint="eastAsia" w:ascii="仿宋" w:hAnsi="仿宋" w:eastAsia="仿宋" w:cs="仿宋"/>
                <w:color w:val="000000"/>
                <w:sz w:val="24"/>
                <w:szCs w:val="24"/>
              </w:rPr>
              <w:t>合法性审查并提交区政府常务会议审议</w:t>
            </w:r>
            <w:r>
              <w:rPr>
                <w:rFonts w:hint="eastAsia" w:ascii="仿宋" w:hAnsi="仿宋" w:eastAsia="仿宋" w:cs="仿宋"/>
                <w:color w:val="00000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908" w:type="dxa"/>
            <w:noWrap w:val="0"/>
            <w:vAlign w:val="top"/>
          </w:tcPr>
          <w:p>
            <w:pPr>
              <w:widowControl/>
              <w:jc w:val="center"/>
              <w:rPr>
                <w:rFonts w:hint="eastAsia" w:ascii="仿宋" w:hAnsi="仿宋" w:eastAsia="仿宋" w:cs="仿宋"/>
                <w:color w:val="000000"/>
                <w:sz w:val="24"/>
                <w:szCs w:val="24"/>
              </w:rPr>
            </w:pPr>
          </w:p>
          <w:p>
            <w:pPr>
              <w:widowControl/>
              <w:jc w:val="center"/>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2</w:t>
            </w:r>
          </w:p>
        </w:tc>
        <w:tc>
          <w:tcPr>
            <w:tcW w:w="2565" w:type="dxa"/>
            <w:noWrap w:val="0"/>
            <w:vAlign w:val="center"/>
          </w:tcPr>
          <w:p>
            <w:pPr>
              <w:widowControl/>
              <w:jc w:val="both"/>
              <w:rPr>
                <w:rFonts w:hint="eastAsia" w:ascii="仿宋" w:hAnsi="仿宋" w:eastAsia="仿宋" w:cs="仿宋"/>
                <w:color w:val="000000"/>
                <w:sz w:val="24"/>
                <w:szCs w:val="24"/>
              </w:rPr>
            </w:pPr>
          </w:p>
          <w:p>
            <w:pPr>
              <w:widowControl/>
              <w:jc w:val="both"/>
              <w:rPr>
                <w:rFonts w:hint="eastAsia" w:ascii="仿宋" w:hAnsi="仿宋" w:eastAsia="仿宋" w:cs="仿宋"/>
                <w:color w:val="000000"/>
                <w:sz w:val="24"/>
                <w:szCs w:val="24"/>
              </w:rPr>
            </w:pPr>
            <w:r>
              <w:rPr>
                <w:rFonts w:hint="eastAsia" w:ascii="仿宋" w:hAnsi="仿宋" w:eastAsia="仿宋" w:cs="仿宋"/>
                <w:color w:val="000000"/>
                <w:sz w:val="24"/>
                <w:szCs w:val="24"/>
              </w:rPr>
              <w:t>金沙湖实验学校学区划分</w:t>
            </w:r>
          </w:p>
        </w:tc>
        <w:tc>
          <w:tcPr>
            <w:tcW w:w="2145" w:type="dxa"/>
            <w:noWrap w:val="0"/>
            <w:vAlign w:val="center"/>
          </w:tcPr>
          <w:p>
            <w:pPr>
              <w:widowControl/>
              <w:jc w:val="center"/>
              <w:rPr>
                <w:rFonts w:hint="eastAsia" w:ascii="仿宋" w:hAnsi="仿宋" w:eastAsia="仿宋" w:cs="仿宋"/>
                <w:color w:val="000000"/>
                <w:sz w:val="24"/>
                <w:szCs w:val="24"/>
              </w:rPr>
            </w:pPr>
          </w:p>
          <w:p>
            <w:pPr>
              <w:widowControl/>
              <w:jc w:val="center"/>
              <w:rPr>
                <w:rFonts w:hint="eastAsia" w:ascii="仿宋" w:hAnsi="仿宋" w:eastAsia="仿宋" w:cs="仿宋"/>
                <w:color w:val="000000"/>
                <w:sz w:val="24"/>
                <w:szCs w:val="24"/>
              </w:rPr>
            </w:pPr>
            <w:r>
              <w:rPr>
                <w:rFonts w:hint="eastAsia" w:ascii="仿宋" w:hAnsi="仿宋" w:eastAsia="仿宋" w:cs="仿宋"/>
                <w:color w:val="000000"/>
                <w:sz w:val="24"/>
                <w:szCs w:val="24"/>
              </w:rPr>
              <w:t>教育局</w:t>
            </w:r>
          </w:p>
        </w:tc>
        <w:tc>
          <w:tcPr>
            <w:tcW w:w="4120" w:type="dxa"/>
            <w:noWrap w:val="0"/>
            <w:vAlign w:val="center"/>
          </w:tcPr>
          <w:p>
            <w:pPr>
              <w:widowControl/>
              <w:jc w:val="both"/>
              <w:rPr>
                <w:rFonts w:hint="eastAsia" w:ascii="仿宋" w:hAnsi="仿宋" w:eastAsia="仿宋" w:cs="仿宋"/>
                <w:color w:val="000000"/>
                <w:sz w:val="24"/>
                <w:szCs w:val="24"/>
              </w:rPr>
            </w:pPr>
            <w:r>
              <w:rPr>
                <w:rFonts w:hint="eastAsia" w:ascii="仿宋" w:hAnsi="仿宋" w:eastAsia="仿宋" w:cs="仿宋"/>
                <w:color w:val="000000"/>
                <w:sz w:val="24"/>
                <w:szCs w:val="24"/>
              </w:rPr>
              <w:t>《中华人民共和国义务教育法》《浙江省义务教育条例》《浙江省教育厅关于进一步规范义务教育阶段公办学校学区划分调整和招生入学工作的意见》（浙教基〔2018〕19号）</w:t>
            </w:r>
          </w:p>
        </w:tc>
        <w:tc>
          <w:tcPr>
            <w:tcW w:w="1475" w:type="dxa"/>
            <w:noWrap w:val="0"/>
            <w:vAlign w:val="top"/>
          </w:tcPr>
          <w:p>
            <w:pPr>
              <w:widowControl/>
              <w:jc w:val="left"/>
              <w:rPr>
                <w:rFonts w:hint="eastAsia" w:ascii="仿宋" w:hAnsi="仿宋" w:eastAsia="仿宋" w:cs="仿宋"/>
                <w:color w:val="000000"/>
                <w:sz w:val="24"/>
                <w:szCs w:val="24"/>
              </w:rPr>
            </w:pPr>
          </w:p>
          <w:p>
            <w:pPr>
              <w:widowControl/>
              <w:jc w:val="left"/>
              <w:rPr>
                <w:rFonts w:hint="eastAsia" w:ascii="仿宋" w:hAnsi="仿宋" w:eastAsia="仿宋" w:cs="仿宋"/>
                <w:color w:val="000000"/>
                <w:sz w:val="24"/>
                <w:szCs w:val="24"/>
              </w:rPr>
            </w:pPr>
          </w:p>
          <w:p>
            <w:pPr>
              <w:widowControl/>
              <w:jc w:val="left"/>
              <w:rPr>
                <w:rFonts w:hint="eastAsia" w:ascii="仿宋" w:hAnsi="仿宋" w:eastAsia="仿宋" w:cs="仿宋"/>
                <w:color w:val="000000"/>
                <w:sz w:val="24"/>
                <w:szCs w:val="24"/>
              </w:rPr>
            </w:pPr>
            <w:r>
              <w:rPr>
                <w:rFonts w:hint="eastAsia" w:ascii="仿宋" w:hAnsi="仿宋" w:eastAsia="仿宋" w:cs="仿宋"/>
                <w:color w:val="000000"/>
                <w:sz w:val="24"/>
                <w:szCs w:val="24"/>
              </w:rPr>
              <w:t>2021年5月</w:t>
            </w:r>
          </w:p>
        </w:tc>
        <w:tc>
          <w:tcPr>
            <w:tcW w:w="3067" w:type="dxa"/>
            <w:noWrap w:val="0"/>
            <w:vAlign w:val="center"/>
          </w:tcPr>
          <w:p>
            <w:pPr>
              <w:widowControl/>
              <w:jc w:val="both"/>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2021年2月初完成风险评估；3月完成向社会公开征求意见；5月完成</w:t>
            </w:r>
            <w:r>
              <w:rPr>
                <w:rFonts w:hint="eastAsia" w:ascii="仿宋" w:hAnsi="仿宋" w:eastAsia="仿宋" w:cs="仿宋"/>
                <w:color w:val="000000"/>
                <w:sz w:val="24"/>
                <w:szCs w:val="24"/>
                <w:lang w:eastAsia="zh-CN"/>
              </w:rPr>
              <w:t>专家论证、</w:t>
            </w:r>
            <w:r>
              <w:rPr>
                <w:rFonts w:hint="eastAsia" w:ascii="仿宋" w:hAnsi="仿宋" w:eastAsia="仿宋" w:cs="仿宋"/>
                <w:color w:val="000000"/>
                <w:sz w:val="24"/>
                <w:szCs w:val="24"/>
              </w:rPr>
              <w:t>合法性审查并提交区政府常务会议审议</w:t>
            </w:r>
            <w:r>
              <w:rPr>
                <w:rFonts w:hint="eastAsia" w:ascii="仿宋" w:hAnsi="仿宋" w:eastAsia="仿宋" w:cs="仿宋"/>
                <w:color w:val="000000"/>
                <w:sz w:val="24"/>
                <w:szCs w:val="24"/>
                <w:lang w:eastAsia="zh-CN"/>
              </w:rPr>
              <w:t>。</w:t>
            </w:r>
          </w:p>
        </w:tc>
      </w:tr>
    </w:tbl>
    <w:p>
      <w:pPr>
        <w:spacing w:line="540" w:lineRule="exact"/>
      </w:pPr>
    </w:p>
    <w:p>
      <w:pPr>
        <w:rPr>
          <w:rFonts w:hint="eastAsia" w:ascii="仿宋_GB2312" w:hAnsi="仿宋_GB2312" w:eastAsia="仿宋_GB2312" w:cs="仿宋_GB2312"/>
          <w:i w:val="0"/>
          <w:iCs w:val="0"/>
          <w:caps w:val="0"/>
          <w:color w:val="auto"/>
          <w:spacing w:val="0"/>
          <w:sz w:val="32"/>
          <w:szCs w:val="32"/>
          <w:lang w:val="en-US" w:eastAsia="zh-CN"/>
        </w:rPr>
      </w:pPr>
    </w:p>
    <w:sectPr>
      <w:footerReference r:id="rId3" w:type="default"/>
      <w:pgSz w:w="16838" w:h="11906" w:orient="landscape"/>
      <w:pgMar w:top="1531" w:right="1701" w:bottom="1531" w:left="1701" w:header="851" w:footer="992" w:gutter="0"/>
      <w:cols w:space="72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separate"/>
    </w:r>
    <w:r>
      <w:rPr>
        <w:rStyle w:val="7"/>
      </w:rPr>
      <w:t>6</w: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35B6ABF"/>
    <w:rsid w:val="7A772A2B"/>
    <w:rsid w:val="F9F5059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semiHidden/>
    <w:qFormat/>
    <w:uiPriority w:val="99"/>
    <w:pPr>
      <w:tabs>
        <w:tab w:val="center" w:pos="4153"/>
        <w:tab w:val="right" w:pos="8306"/>
      </w:tabs>
      <w:snapToGrid w:val="0"/>
      <w:jc w:val="left"/>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page number"/>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2021-12-07T16:02:00Z</dcterms:created>
  <dc:creator>Administrator</dc:creator>
  <cp:lastModifiedBy>Administrator</cp:lastModifiedBy>
  <dcterms:modified xsi:type="dcterms:W3CDTF">2021-12-07T08:21:47Z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784A32DD2D7143BAB92148F1375D782C</vt:lpwstr>
  </property>
  <property fmtid="{D5CDD505-2E9C-101B-9397-08002B2CF9AE}" pid="4" name="woTemplateTypoMode" linkTarget="0">
    <vt:lpwstr>web</vt:lpwstr>
  </property>
  <property fmtid="{D5CDD505-2E9C-101B-9397-08002B2CF9AE}" pid="5" name="woTemplate" linkTarget="0">
    <vt:i4>1</vt:i4>
  </property>
</Properties>
</file>