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120" w:after="120" w:line="360" w:lineRule="auto"/>
        <w:jc w:val="left"/>
        <w:rPr>
          <w:rFonts w:ascii="黑体" w:hAnsi="黑体" w:eastAsia="黑体" w:cs="黑体"/>
          <w:sz w:val="32"/>
          <w:szCs w:val="32"/>
        </w:rPr>
      </w:pPr>
      <w:bookmarkStart w:id="0" w:name="_Toc13266"/>
      <w:bookmarkStart w:id="1" w:name="_Toc3778"/>
      <w:r>
        <w:rPr>
          <w:rFonts w:hint="eastAsia" w:ascii="黑体" w:hAnsi="黑体" w:eastAsia="黑体" w:cs="黑体"/>
          <w:sz w:val="32"/>
          <w:szCs w:val="32"/>
        </w:rPr>
        <w:t>附表1</w:t>
      </w:r>
    </w:p>
    <w:p>
      <w:pPr>
        <w:pStyle w:val="2"/>
        <w:snapToGrid w:val="0"/>
        <w:spacing w:before="120" w:after="120" w:line="360" w:lineRule="auto"/>
        <w:jc w:val="center"/>
        <w:rPr>
          <w:rFonts w:ascii="黑体" w:hAnsi="黑体" w:eastAsia="黑体" w:cs="黑体"/>
          <w:color w:val="FF0000"/>
          <w:sz w:val="32"/>
          <w:szCs w:val="32"/>
        </w:rPr>
      </w:pPr>
      <w:bookmarkStart w:id="8" w:name="_GoBack"/>
      <w:r>
        <w:rPr>
          <w:rFonts w:hint="eastAsia" w:ascii="黑体" w:hAnsi="黑体" w:eastAsia="黑体" w:cs="黑体"/>
          <w:color w:val="FF0000"/>
          <w:sz w:val="32"/>
          <w:szCs w:val="32"/>
        </w:rPr>
        <w:t>产业发展导向目录</w:t>
      </w:r>
      <w:bookmarkEnd w:id="0"/>
      <w:bookmarkEnd w:id="1"/>
    </w:p>
    <w:bookmarkEnd w:id="8"/>
    <w:p>
      <w:pPr>
        <w:pStyle w:val="3"/>
        <w:numPr>
          <w:ilvl w:val="0"/>
          <w:numId w:val="1"/>
        </w:numPr>
        <w:snapToGrid w:val="0"/>
        <w:spacing w:before="120" w:after="120" w:line="360" w:lineRule="auto"/>
      </w:pPr>
      <w:bookmarkStart w:id="2" w:name="_Toc30169"/>
      <w:bookmarkStart w:id="3" w:name="_Toc9591"/>
      <w:r>
        <w:rPr>
          <w:rFonts w:hint="eastAsia" w:ascii="楷体" w:hAnsi="楷体" w:eastAsia="楷体" w:cs="楷体"/>
        </w:rPr>
        <w:t>鼓励目录</w:t>
      </w:r>
      <w:bookmarkEnd w:id="2"/>
      <w:bookmarkEnd w:id="3"/>
    </w:p>
    <w:tbl>
      <w:tblPr>
        <w:tblStyle w:val="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24"/>
        <w:gridCol w:w="707"/>
        <w:gridCol w:w="69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tblHeader/>
          <w:jc w:val="center"/>
        </w:trPr>
        <w:tc>
          <w:tcPr>
            <w:tcW w:w="435" w:type="pct"/>
            <w:tcBorders>
              <w:tl2br w:val="nil"/>
              <w:tr2bl w:val="nil"/>
            </w:tcBorders>
            <w:shd w:val="clear" w:color="auto" w:fill="auto"/>
            <w:noWrap/>
            <w:tcMar>
              <w:top w:w="15" w:type="dxa"/>
              <w:left w:w="15" w:type="dxa"/>
              <w:right w:w="15" w:type="dxa"/>
            </w:tcMar>
            <w:vAlign w:val="center"/>
          </w:tcPr>
          <w:p>
            <w:pPr>
              <w:widowControl/>
              <w:jc w:val="center"/>
              <w:textAlignment w:val="top"/>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序号</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top"/>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国标代码</w:t>
            </w:r>
          </w:p>
        </w:tc>
        <w:tc>
          <w:tcPr>
            <w:tcW w:w="4140" w:type="pct"/>
            <w:tcBorders>
              <w:tl2br w:val="nil"/>
              <w:tr2bl w:val="nil"/>
            </w:tcBorders>
            <w:shd w:val="clear" w:color="auto" w:fill="auto"/>
            <w:noWrap/>
            <w:tcMar>
              <w:top w:w="15" w:type="dxa"/>
              <w:left w:w="15" w:type="dxa"/>
              <w:right w:w="15" w:type="dxa"/>
            </w:tcMar>
            <w:vAlign w:val="center"/>
          </w:tcPr>
          <w:p>
            <w:pPr>
              <w:widowControl/>
              <w:jc w:val="center"/>
              <w:textAlignment w:val="top"/>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鼓励类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一、高效生态农业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01</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粮油、蔬菜、水果（含果用瓜）、中药材、花卉、食用菌等优良品种的引进、培育和开发。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畜、禽、蚕、蜂等优良品种的引进、培育和开发。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水产良种繁育体系建设，引进、开发与推广养殖名特优新水产品种。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农、林、牧、渔业新优品种开发、种质资源保护与改良。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农林业种（苗）场、良种繁育基地的建设。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农田建设与保护工程（包括含高标准农田建设、农田水利建设、高效节水灌溉、农田整治等）。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农林业珍稀资源的保护、开发、利用项目。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无公害生产基地、绿色食品生产基地、有机农业生产基地、都市农业示范园区建设。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A09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农林业机械化应用项目。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畜牧污染治理及疫病综合防治技术的运用与推广。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农林植物有害生物检疫、预防、控制技术推广。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节约型农林业、循环农林业、生态农林业、休闲观光农林业、创汇农林业、农林业总部经济项目。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农业生产数字化改造和智慧农业工程，信息化农业服务项目。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数字农村建设和信息进村入户工程。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“互联网+”农产品出村进城工程。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A16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95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新型农业社会化服务组织、农民专业合作组织建设。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二、五大先进制造业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（一）集成电路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8英寸半导体硅片、12英寸半导体硅片等；8英寸及以下特色工艺生产线、虚拟IDM生产线、12英寸数字芯片生产线。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MEMS、功率器件、计算、存储、通信、AI等芯片设计。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大规模集成电路设计与制造、封装和测试技术，系统集成芯片（SOC）技术，神经网络芯片和生物芯片，专用集成电路（ASIC）设计技术，微电子机械（MEM）技术，数字信号处理器（DSP）、微控制单元（MCU）、可编辑器件（PLD）等专用微处理器的二次开发和应用技术，RFID芯片技术，大尺寸半导体材料及关键技术推广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集成电路装备研发制造。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集成电路设计，线宽0.8微米以下集成电路制造，及球栅阵列封装（BGA）、插针网格阵列封装（PGA）、芯片规模封装（CSP）、多芯片封装（MCM）、栅格阵列封装（LGA）、系统级封装（SIP）、倒装封装（FC）、晶圆级封装（WLP）、传感器封装（MEMS）等先进封装与测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基于新业态、新应用的信息处理、传感器、新型存储等关键芯片及云操作系统等基础软件的设计、研发和制造。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智能卡、智能电网、智能交通、卫星导航、工业控制、金融电子、汽车电子、医疗电子等关键集成电路的设计、研发和制造。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移动智能终端芯片、数字电视芯片、网络通信芯片、可穿戴设备芯片、数字集群（PDT）、数字对讲机、数字电视机顶盒等芯片及操作系统的设计、研发和制造。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（二）生命健康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B09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新型疫苗、单克隆抗体系列产品与检测试剂、新型给药技术及药物新剂型生产。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生物反应及分离技术、发酵工程关键技术及重大产品、生物芯片、生物材料及产品的研发与生产。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拥有自主知识产权的新药开发和生产，天然药物开发和生产，满足我国重大、多发性疾病防治需求的通用名药物首次开发和生产，药物新剂型、新辅料、儿童药、短缺药的开发和生产，药物生产过程中的膜分离、超临界萃取、新型结晶、手性合成、酶促合成、连续反应、系统控制等技术开发与应用，原料药生产节能降耗减排技术、新型药物制剂技术开发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生物技术药物，主要包括重组多肽、治疗性抗体、免疫细胞治疗制剂、干细胞、小RNA药物开发、高效工业酶制备、生物催化技术等基因工程药物、基因重组疫苗、生物诊断试剂的开发和应用。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基于新机制、新靶点和新适应症的新化学实体，高端制剂创制技术研发。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化学药大品种的技术再创新及制剂新产品、化学药制备技术的开发，加强大容量抗肿瘤无菌制剂等新型制剂技术和新型辅料的应用研究。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大疾病防治疫苗、抗体药物、基因治疗药物、细胞治疗药物、重组蛋白质药物、核酸药物，大规模细胞培养和纯化技术、大规模药用多肽和核酸合成、抗体偶联、无血清无蛋白培养基培养、发酵、纯化技术开发和应用，采用现代生物技术改造传统生产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新型药用包装材料与技术的开发和生产（中性硼硅药用玻璃，化学稳定性好、可降解，具有避光、高阻隔性的功能性材料，气雾剂、粉雾剂、自我给药、预灌封、自动混药等新型包装给药系统及给药装置）。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高端制药设备开发与生产。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4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型医用诊断设备和试剂，数字化医学影像设备，人工智能辅助医疗设备，高端放射治疗设备，内窥镜、手术机器人等高端医疗器械设备，支架、假体等新型植入介入设备与材料及增材制造技术开发与应用，危重病用生命支持设备，移动与远程诊疗设备，新型基因、蛋白和细胞诊断设备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B19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康复训练系统、重症监护救治系统、应急医学救援链装备及系统等智能化手术治疗康复和急救设备的研发、生产。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虚拟助理、药物挖掘、智能医学影像、健康管理、智能辅助诊疗、智慧医院管理、智能疾病风险预测、辅助医学研究。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84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第三方医学检测、网络病理会诊、精准病理诊断和检测。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运动营养品、保健食品、健康饮品、特殊医学用途配方食品的研发与生产。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（三）智能汽车及智能装备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新能源汽车及燃油汽车的整车制造。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燃油汽车关键零部件：发动机、变速箱等动力总成系统，转向、减震与制动等底盘系统，电子电控系统等汽车关键零部件及其电子、电器产品制造等。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新能源汽车关键零部件：动力电池、驱动电机、整车电控系统、质子交换膜、氢燃料发动机、高压储氢瓶、先进变速器、轻量化材料、智能控制等新能源汽车关键部件生产和应用。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子控制系统：发动机控制系统（ECU）、变速箱控制系统（TCU）、制动防抱死系统（ABS）、牵引力控制（ASR）、电子稳定控制（ESC）、网络总线控制、车载故障诊断仪（OBD）、电控智能悬架、电子驻车系统、电子油门、车道保持辅助系统（LKA）、自动紧急制动系统（AEBS）、电控制动系统（EBS）、载货汽车用轴荷自动测量系统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自动驾驶、车联网、智能汽车、新能源汽车及汽车关键零部件研发能力建设。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智能汽车关键零部件及技术：车载芯片、中央处理器、车载操作系统和信息控制系统、车联网通信系统设备、视觉识别系统、高精度定位装置、线控底盘系统、智能车用安全玻璃；新型智能终端模块、多核异构智能计算平台技术、全天候复杂交通场景高精度定位和地图技术、传感器融合感知技术、车用无线通信关键技术、基础云控平台技术；新型安全隔离架构技术、软硬件协同攻击识别技术、终端芯片安全加密和应用软件安全防护技术、无线通信安全加密技术、安全通讯及认证授权技术、数据加密技术；测试评价体系架构研发，虚拟仿真、实车道路测试等技术和验证工具，整车级和系统级测试评价方法，测试基础数据库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B29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充电桩、充电站、加氢站、换电站等新能源汽车基础设施研发生产和建设应用，及车辆的测试、检测和试验场地。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机器人及集成系统：公共服务机器人、个人服务机器人、人机协作机器人、双臂机器人、弧焊机器人、重载 AGV、专用检测与装配机器人集成系统等整机产品的研发、设计、制造和应用。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机器人用关键零部件：高精密减速器、高性能伺服电机和驱动器、全自主编程等高性能控制器、传感器、末端执行器等。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机器人共性技术：检验检测与评定认证、智能机器人操作系统、智能机器人云服务平台。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高档数控机床及配套数控系统：高精、高速、智能、复合、重型数控工作母机、特种加工机床和专用数控设备制造。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转台、刀库、导轨等数控机床核心部件的研发和制造。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整机动态设计、先进制造工艺、功能复合、可靠性设计等关键技术的研发。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先进的食品生产设备研发与制造；食品质量与安全监测（检测）仪器、设备的研发与生产。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35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气流纺、紧密纺等新型智能化纺纱设备，机电一体化新型无梭织机及针织设备，节能、节水和环保型染整设备，纺织品数码喷印设备、新型丝绸系列设备。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（四）航空航天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kern w:val="0"/>
                <w:sz w:val="24"/>
              </w:rPr>
            </w:pPr>
            <w:r>
              <w:rPr>
                <w:rFonts w:hint="eastAsia" w:ascii="仿宋_GB2312" w:hAnsi="仿宋_GB2312" w:eastAsia="仿宋_GB2312" w:cs="仿宋_GB2312"/>
                <w:kern w:val="0"/>
                <w:sz w:val="24"/>
              </w:rPr>
              <w:t>民用大飞机、通航飞机、直升机、无人机（固定翼和旋翼）、运载器（火箭、组合动力飞行器）、航天器(卫星、飞船、深空探测器）等</w:t>
            </w:r>
            <w:r>
              <w:rPr>
                <w:rFonts w:hint="eastAsia" w:ascii="仿宋_GB2312" w:hAnsi="仿宋_GB2312" w:eastAsia="仿宋_GB2312" w:cs="仿宋_GB2312"/>
                <w:color w:val="000000"/>
                <w:kern w:val="0"/>
                <w:sz w:val="24"/>
              </w:rPr>
              <w:t>整机</w:t>
            </w:r>
            <w:r>
              <w:rPr>
                <w:rFonts w:hint="eastAsia" w:ascii="仿宋_GB2312" w:hAnsi="仿宋_GB2312" w:eastAsia="仿宋_GB2312" w:cs="仿宋_GB2312"/>
                <w:kern w:val="0"/>
                <w:sz w:val="24"/>
              </w:rPr>
              <w:t>及关键零部件研发制造</w:t>
            </w:r>
            <w:r>
              <w:rPr>
                <w:rFonts w:hint="eastAsia" w:ascii="仿宋_GB2312" w:hAnsi="仿宋_GB2312" w:eastAsia="仿宋_GB2312" w:cs="仿宋_GB2312"/>
                <w:color w:val="000000"/>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B39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航空航天发动机研发制造。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机载设备、任务设备、空管设备和地面保障设备系统开发制造。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直升机总体、旋翼系统、传动系统开发制造。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航空航天用新型材料开发生产。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航空、航天技术应用及系统软硬件产品、终端产品开发生产。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航空器地面模拟训练系统、试验系统开发制造。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航空器地面维修、维护、检测设备开发制造。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卫星地面和应用系统建设及设备制造。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航空器专用应急救援装备开发与应用。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航空器、设备及零件维修。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B49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先进载荷研制及生产</w:t>
            </w:r>
            <w:r>
              <w:rPr>
                <w:rFonts w:hint="eastAsia" w:ascii="仿宋_GB2312" w:hAnsi="仿宋_GB2312" w:eastAsia="仿宋_GB2312" w:cs="仿宋_GB2312"/>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各类飞行器总体、通信、控制、电源、生命保障等等系统开发制造与精密加工和总装技术</w:t>
            </w:r>
            <w:r>
              <w:rPr>
                <w:rFonts w:hint="eastAsia" w:ascii="仿宋_GB2312" w:hAnsi="仿宋_GB2312" w:eastAsia="仿宋_GB2312" w:cs="仿宋_GB2312"/>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38</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无人机集群技术。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Fonts w:hint="eastAsia" w:ascii="仿宋_GB2312" w:hAnsi="仿宋_GB2312" w:eastAsia="仿宋_GB2312" w:cs="仿宋_GB2312"/>
                <w:sz w:val="24"/>
              </w:rPr>
              <w:t>航空航天研发平台和能力建设，包括风动、结构等硬件平台和CFD、控制等仿真软件平台。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43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航空航天零部件维修、航空航天再制造及飞机结构修复技术、零部件修复技术、表面修复技术等航空维修及技术服务；</w:t>
            </w:r>
            <w:r>
              <w:rPr>
                <w:rFonts w:hint="eastAsia" w:ascii="仿宋_GB2312" w:hAnsi="仿宋_GB2312" w:eastAsia="仿宋_GB2312" w:cs="仿宋_GB2312"/>
                <w:sz w:val="24"/>
              </w:rPr>
              <w:t>地勤检修，适航证，国际标准等航空航天配套服务。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56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航空示范运营、航空运营支持服务、通用航空服务等航空运营及支持、</w:t>
            </w:r>
            <w:r>
              <w:rPr>
                <w:rFonts w:hint="eastAsia" w:ascii="仿宋_GB2312" w:hAnsi="仿宋_GB2312" w:eastAsia="仿宋_GB2312" w:cs="仿宋_GB2312"/>
                <w:sz w:val="24"/>
              </w:rPr>
              <w:t>航空航天技术应用。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（五）新材料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石墨烯、超导材料、纳米材料、生物基材料、半导体材料等前沿材料的研发生产。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新型陶瓷，功能陶瓷，陶瓷基复合材料，纳米级非金属材料等研发生产。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新型节能环保墙体材料生产。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非金属复合材料，主要包括玻璃纤维增强材料及制品、聚碳材料等生产。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B59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无机纤维、碳纤维及复合材料生产。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开展高端玻璃深加工，发展高品质高强超白高透光太阳能光伏玻璃、光伏光热一体化玻璃制品、高品质低辐射镀膜（LOW-E）玻璃、真（中）空玻璃、防撞安全玻璃等。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纳米级金属材料研发生产。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航空航天材料、轨道交通材料、海洋工程材料等产业关键技术和装备制造。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军民共用特种新材料制造。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工业设计、建筑工程、汽车、航空航天、生物医疗等领域的3D打印材料应用。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纺织新材料、有机硅材料、半导体照明材料、光电子与微电子材料等新材料制造。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B66</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高性能氟硅新材料、功能性硅材料、热塑性弹性体、特种工程塑料、特种合成橡胶、高性能纤维、功能性膜材料等先进高分子材料研发与生产。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B67</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资源节约型、环保型的新型包装材料生产。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Style w:val="7"/>
                <w:rFonts w:hint="default" w:hAnsi="仿宋_GB2312"/>
                <w:b/>
                <w:bCs/>
                <w:sz w:val="24"/>
                <w:szCs w:val="24"/>
              </w:rPr>
            </w:pPr>
            <w:r>
              <w:rPr>
                <w:rFonts w:hint="eastAsia" w:ascii="Times New Roman" w:hAnsi="Times New Roman" w:eastAsia="仿宋_GB2312" w:cs="Times New Roman"/>
                <w:b/>
                <w:bCs/>
                <w:color w:val="000000"/>
                <w:kern w:val="0"/>
                <w:sz w:val="24"/>
              </w:rPr>
              <w:t>三、数字经济核心产业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Style w:val="7"/>
                <w:rFonts w:hint="default" w:hAnsi="仿宋_GB2312"/>
                <w:b/>
                <w:bCs/>
                <w:sz w:val="24"/>
                <w:szCs w:val="24"/>
              </w:rPr>
            </w:pPr>
            <w:r>
              <w:rPr>
                <w:rFonts w:hint="eastAsia" w:ascii="Times New Roman" w:hAnsi="Times New Roman" w:eastAsia="仿宋_GB2312" w:cs="Times New Roman"/>
                <w:b/>
                <w:bCs/>
                <w:color w:val="000000"/>
                <w:kern w:val="0"/>
                <w:sz w:val="24"/>
              </w:rPr>
              <w:t>（一）新一代信息技术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C01</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电信、广播电视传输服务、卫星传输服务。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网上新闻服务、网上信息发布、网上音乐服务、网上影视服务、网上图片服务等互联网信息服务。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以光纤为主的用户接入互联网建设及应用服务。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宽带通信网、数字电视网和下一代互联网等信息网络资源建设。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互联网生产服务平台、互联网生活服务平台、互联网科技创新平台、互联网公共服务平台及其他互联网平台等建设。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C06</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互联网安全服务。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C07</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金融信息服务、农业信息服务、商贸信息服务、航运信息服务、信用信息服务等专业信息服务业。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C08</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信息资源开发、公共信息交互平台和公共数据库建设。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C09</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数字娱乐、数字传媒和数字出版为主的数字内容开发与增值服务。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C10</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数字创意产业领域的产品、服务、技术、模式和业态创新，数字创意与相关产业融合发展，数字创意技术和装备。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C11</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数字文化技术创新服务、地理信息加工处理服务和基于数字内容的应用服务等。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数字内容加工处理技术和软件产品，家庭娱乐软件产品。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top"/>
              <w:rPr>
                <w:rFonts w:ascii="Times New Roman" w:hAnsi="Times New Roman" w:eastAsia="仿宋_GB2312" w:cs="Times New Roman"/>
                <w:b/>
                <w:bCs/>
                <w:kern w:val="0"/>
                <w:sz w:val="24"/>
              </w:rPr>
            </w:pPr>
            <w:r>
              <w:rPr>
                <w:rFonts w:hint="eastAsia" w:ascii="Times New Roman" w:hAnsi="Times New Roman" w:eastAsia="仿宋_GB2312" w:cs="Times New Roman"/>
                <w:b/>
                <w:bCs/>
                <w:color w:val="000000"/>
                <w:kern w:val="0"/>
                <w:sz w:val="24"/>
              </w:rPr>
              <w:t>（二）云计算与大数据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云技术平台管理和大数据的海量数据存储、在线处理、分析挖掘、建模、可视化、安全、隐私保护等技术开发和应用。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绿色节能提升和软件云服务化、传统软件云化迁移、大数据处理与应用研发等关键技术开发和应用。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以专有云、公有云与混合云共存的云网模式形成安全可控的政务数据、商务数据和数据服务等平台建设。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C16</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高密度低功耗新型服务器、分布式存储、自主安全可控的操作系统和平台软件开发和应用，PUE值在1.4以下的云数据中心。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top"/>
              <w:rPr>
                <w:rFonts w:ascii="Times New Roman" w:hAnsi="Times New Roman" w:eastAsia="仿宋_GB2312" w:cs="Times New Roman"/>
                <w:b/>
                <w:bCs/>
                <w:kern w:val="0"/>
                <w:sz w:val="24"/>
              </w:rPr>
            </w:pPr>
            <w:r>
              <w:rPr>
                <w:rFonts w:hint="eastAsia" w:ascii="Times New Roman" w:hAnsi="Times New Roman" w:eastAsia="仿宋_GB2312" w:cs="Times New Roman"/>
                <w:b/>
                <w:bCs/>
                <w:color w:val="000000"/>
                <w:kern w:val="0"/>
                <w:sz w:val="24"/>
              </w:rPr>
              <w:t>（三）物联网产业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C17</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与物联网应用相关的新型智能传感器、芯片、电子器件、网络设备、通信设备、智能化仪器仪表、存储设备、软件集成系统等产品的研发和应用。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C18</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与物联网应用相关的通信技术和产品、系统平台和应用软件开发。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C19</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工厂物联网和工业互联网建设。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C20</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与城市发展相关的物联网应用服务，包括智慧交通应用、数字安防、医疗、环保、物流、供应业等。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C21</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安全、健康、节能的家庭智能技术和产品开发及应用，包括智慧楼宇、社区服务。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top"/>
              <w:rPr>
                <w:rFonts w:ascii="Times New Roman" w:hAnsi="Times New Roman" w:eastAsia="仿宋_GB2312" w:cs="Times New Roman"/>
                <w:b/>
                <w:bCs/>
                <w:kern w:val="0"/>
                <w:sz w:val="24"/>
              </w:rPr>
            </w:pPr>
            <w:r>
              <w:rPr>
                <w:rFonts w:hint="eastAsia" w:ascii="Times New Roman" w:hAnsi="Times New Roman" w:eastAsia="仿宋_GB2312" w:cs="Times New Roman"/>
                <w:b/>
                <w:bCs/>
                <w:color w:val="000000"/>
                <w:kern w:val="0"/>
                <w:sz w:val="24"/>
              </w:rPr>
              <w:t>（四）移动互联网产业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新一代移动通信（5G）网络建设、优化和运行维护。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新一代移动通信基础服务、数据及信息服务。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移动操作系统、手机软件平台、智能移动终端、内容制作与服务等产品的开发和引用。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移动支付、第三方支付系统的建设。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C26</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健康、教育、交通、环保等领域的移动互联网内容服务。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top"/>
              <w:rPr>
                <w:rFonts w:ascii="Times New Roman" w:hAnsi="Times New Roman" w:eastAsia="仿宋_GB2312" w:cs="Times New Roman"/>
                <w:b/>
                <w:bCs/>
                <w:kern w:val="0"/>
                <w:sz w:val="24"/>
              </w:rPr>
            </w:pPr>
            <w:r>
              <w:rPr>
                <w:rFonts w:hint="eastAsia" w:ascii="Times New Roman" w:hAnsi="Times New Roman" w:eastAsia="仿宋_GB2312" w:cs="Times New Roman"/>
                <w:b/>
                <w:bCs/>
                <w:color w:val="000000"/>
                <w:kern w:val="0"/>
                <w:sz w:val="24"/>
              </w:rPr>
              <w:t>（五）电子信息产品制造产业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C27</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安全可控的多屏合一架构的智能终端操作系统和智能终端设备设计生产应用。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C28</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电子控制单元（ECU）的核心芯片及软件、各种传感器、执行器、车身附件、车载信息系统、定位导航系统、混合动力汽车驱动与控制系统等汽车电子和机电一体化产品。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C29</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电子专用设备仪器、新型元器件、新型显示器件、电力电子器件、高性能电池、新型传感器、信息功能材料与器件、光电子器件、光机电组件、现代科学仪器设备、变流装置等电子器件的研发和产业化。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C30</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无线射频识别系统及设备（RFID）开发，新一代信息记录材料生产。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C31</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半导体照明、特种光电材料、光纤传感器、光存储、光伏产品及器件等光电子产品研发和产业化。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高性能微型计算机、便携式 PC 机及其外围设备关键零部件和耗材，大中型电子计算机，工作站及高性能服务器，控制器与工业控制机，仿真系列产品，大容量光、磁盘存储设备及其零部件生产。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工业及机电控制、环保自动监测、卫星导航、信息技术制造与推广应用。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网络设备、光传输设备、接入网系统设备、数字移动通信、宽带无线通信技术及设备，个人数字助理（PDA）及其他数字信息终端产品生产。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数字音视频产品，主要包括数字音视频编解码技术及相关关键设备、专用集成电路、关键部件，数字电视，移动电视，网络电视（IPTV）生产与应用。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C36</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rPr>
                <w:rFonts w:ascii="Times New Roman" w:hAnsi="Times New Roman" w:eastAsia="仿宋_GB2312" w:cs="Times New Roman"/>
                <w:color w:val="000000"/>
                <w:kern w:val="0"/>
                <w:sz w:val="24"/>
              </w:rPr>
            </w:pPr>
            <w:r>
              <w:rPr>
                <w:rFonts w:hint="eastAsia" w:ascii="仿宋_GB2312" w:hAnsi="仿宋_GB2312" w:eastAsia="仿宋_GB2312" w:cs="仿宋_GB2312"/>
                <w:color w:val="000000"/>
                <w:kern w:val="0"/>
                <w:sz w:val="24"/>
              </w:rPr>
              <w:t>半导体、光电子器件、新型电子元器件（片式元器件、电力电子器件、光电子器件、敏感元器件及传感器、新型机电元件、高频微波印制电路板、高速通信电路板、柔性电路板、高性能覆铜板等）等电子产品用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C37</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印刷OLED显示关键材料与器件、量子点发光显示关键材料、可穿戴柔性电子材料；基于印刷技术工艺的电致量子点发光显示关键材料的QLED、OLED面板。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C38</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柔性光电器件、柔性电子器件、柔性传感器、柔性芯片及电路、柔性电子系统等。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C39</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40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综合气象观测仪器装备（地面、高空、海洋气象观测仪器装备，专业气象观测、大气成分观测仪器装备，气象雷达及耗材等）、移动应急气象观测系统、移动应急气象指挥系统、气象计量检定设备、气象观测仪器装备运行监控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C40</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40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水文数据采集仪器及设备、水文仪器计量检定设备；地震、地质灾害监测仪器仪表。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C41</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40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城市智能视觉监控、视频分析、视频辅助刑事侦察技术设备。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C42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40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数字化、智能化、网络化工业自动检测仪表，原位在线成份分析仪器，电磁兼容检测设备，智能电网用智能电表（具有发送和接收信号、自诊断、数据处理功能），具有无线通信功能的低功耗各类智能传感器，可加密传感器，核级监测仪表和传感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C43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40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科学研究、智能制造、测试认证用测量精度达到微米以上的多维几何尺寸测量仪器，自动化、智能化、多功能材料力学性能测试仪器，工业 CT、三维超声波探伤仪等无损检测设备，用于纳米观察测量的分辨率高于 3.0 纳米的电子显微镜。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top"/>
              <w:rPr>
                <w:rFonts w:ascii="Times New Roman" w:hAnsi="Times New Roman" w:eastAsia="仿宋_GB2312" w:cs="Times New Roman"/>
                <w:b/>
                <w:bCs/>
                <w:kern w:val="0"/>
                <w:sz w:val="24"/>
              </w:rPr>
            </w:pPr>
            <w:r>
              <w:rPr>
                <w:rFonts w:hint="eastAsia" w:ascii="Times New Roman" w:hAnsi="Times New Roman" w:eastAsia="仿宋_GB2312" w:cs="Times New Roman"/>
                <w:b/>
                <w:bCs/>
                <w:color w:val="000000"/>
                <w:kern w:val="0"/>
                <w:sz w:val="24"/>
              </w:rPr>
              <w:t>（六）信息安全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C44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互联网安全软件与服务、工业物联网安全、自主可靠芯片及智能硬件研发制造、信息安全关键技术产品与系统生产与应用。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C45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kern w:val="0"/>
                <w:sz w:val="24"/>
              </w:rPr>
            </w:pPr>
            <w:r>
              <w:rPr>
                <w:rFonts w:hint="eastAsia" w:ascii="Times New Roman" w:hAnsi="Times New Roman" w:eastAsia="仿宋_GB2312" w:cs="Times New Roman"/>
                <w:color w:val="000000"/>
                <w:kern w:val="0"/>
                <w:sz w:val="24"/>
              </w:rPr>
              <w:t>基于云计算和移动互联网的安全防护、监测、数据加密、隐私保护、审计、风险评估、安全测评、咨询服务等产业。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四、未来产业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（一）人工智能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人工智能芯片设计、制造、封装等。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语音/语义、图像识别等技术研发和应用。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无人控制技术研发和应用。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D04</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计算机视觉技术和应用。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人工神经网络技术和应用。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（二）虚拟现实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虚拟现实（VR）、增强现实（AR）、语音语义图像识别、多传感器信息融合等技术的研发与应用。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虚拟现实整机设备、虚拟现实感知交互设备、虚拟环境交互信息设备等智能消费设备制造。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（三）增材制造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光固化成形、熔融沉积成形、激光选区烧结成形、无模铸型以及材料喷射成形等非金属材料增材制造装备。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D09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激光/电子束高效选区熔化、大型整体构件激光及电子束送粉/送丝熔化沉积等金属材料增材制造装备。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D10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发展仿生组织修复支架增材制造装备、医疗个性化增材制造装备、细胞活性材料装备等生物医用材料增材制造装备。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D11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30</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精细陶瓷粉体、适用于增材制造的陶瓷前驱体及陶瓷短切纤维；适用于增材制造的专用材料。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（四）量子信息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D12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量子通信设备。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D13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量子、类脑等新机理计算机系统的研究与制造。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五、优势传统制造业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kern w:val="0"/>
                <w:sz w:val="24"/>
              </w:rPr>
            </w:pPr>
            <w:r>
              <w:rPr>
                <w:rFonts w:hint="eastAsia" w:ascii="Times New Roman" w:hAnsi="Times New Roman" w:eastAsia="仿宋_GB2312" w:cs="Times New Roman"/>
                <w:b/>
                <w:bCs/>
                <w:color w:val="000000"/>
                <w:kern w:val="0"/>
                <w:sz w:val="24"/>
              </w:rPr>
              <w:t>（一）纺织印染（仅限于杭州临江高科园）。不包括滚筒印花、平网印花和圆网印花工艺等以及不含煮、练、漂、丝光、碱减量、染色等工序。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各种差别化、功能性化纤及采用化纤高仿真加工技术的高档面料研发生产。原创性开发高速纺丝加工用绿色高效环保油剂。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可取代进口的新一代功能性复合面料生产。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真丝绸抗皱技术、双面印花技术研究及其产品开发。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以真丝为主体的高仿真、多组分、交织的新型丝绸面料研发生产。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可替代进口的多组分（三种纤维以上）、功能性的纱线、花色纱线的生产及其制品的开发。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高性能、高技术的产业用纺织品生产及相关的功能性纤维研发和生产。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17</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新型医用防护材料、农用非织造布、产业用特种纺织面料及制品生产，新型纺织材料及印染后整理技术推广。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服装及服饰产品的品牌经营和虚拟设计生产。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E09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19</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精品皮鞋、皮箱、包、袋生产。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聚对苯二甲酸丙二醇酯（PTT）、聚萘二甲酸乙二醇酯（PEN）、聚对苯二甲酸丁二醇酯（PBT）、聚丁二酸丁二酯（PBS）、聚对苯二甲酸环己烷二甲醇酯（PCT）、生物基聚酰胺、生物基呋喃环等新型聚酯和纤维的开发、生产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高性能纤维及制品的开发、生产、应用。[碳纤维（CF）（拉伸强度≥4,200MPa，弹性模量≥230GPa）、芳纶（AF）、芳砜49纶（PSA）、超高分子量聚乙烯纤维（UHMWPE）（纺丝生产装置单线能力≥300吨/年）、聚苯硫醚纤维（PPS）、聚酰亚胺纤维（PI）、聚四氟乙烯纤维（PTFE）、聚苯并双噁唑纤维（PBO）、聚芳噁二唑纤维（POD）、玄武岩纤维（BF）、碳化硅纤维（SiCF）、聚醚醚酮纤维（PEEK）、高强型玻璃纤维（HT-AR）,聚（２,５－二羟基－１,４－苯撑吡啶并二咪唑）（ PIPD）纤维等。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采用绿色、环保工艺与装备生产新溶剂法纤维素纤维（Lyocell）、细菌纤维素纤维、以竹、麻等新型可再生资源为原料的再生纤维素纤维、聚乳酸纤维（PLA）、海藻纤维、壳聚糖纤维、聚羟基脂肪酸酯纤维（PHA）、动植物蛋白纤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符合生态要求的特种纤维及其产品的研发生产。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大型化、精密化直接纺涤纶超细长丝生产技术推广。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新一代复合超细纤维的研发生产。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可应用于产业化的面料、服装设计计算机技术推广。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化纤印染的清洁生产及环保治理新技术推广。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kern w:val="0"/>
                <w:sz w:val="24"/>
              </w:rPr>
            </w:pPr>
            <w:r>
              <w:rPr>
                <w:rFonts w:hint="eastAsia" w:ascii="Times New Roman" w:hAnsi="Times New Roman" w:eastAsia="仿宋_GB2312" w:cs="Times New Roman"/>
                <w:b/>
                <w:bCs/>
                <w:color w:val="000000"/>
                <w:kern w:val="0"/>
                <w:sz w:val="24"/>
              </w:rPr>
              <w:t>（二）化工化纤（仅限于杭州临江高科园）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改性型、水基型胶粘剂和新型热熔胶，环保型吸水剂、水处理剂，分子筛固汞、无汞等新型高效、环保催化剂和助剂，安全型食品添加剂、饲料添加剂，纳米材料，功能性膜材料，超净高纯试剂、高纯电子化学材料（先进半导体材料和新型显示材料）、光刻胶及其配套材料（包括显影液、剥离液、蚀刻液、清洗液及其循环利用）、电子气、高性能液晶材料等新型精细化学品的开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E19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具有自主知识产权的轻污染化工产品生产和制造技术推广应用。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高效、安全、环境友好的农药新品种、新剂型（水基化剂型等）、专用中间体、助剂（水基化助剂等）的开发与生产，定向合成法手性和立体结构农药生产，生物农药新产品、新技术的开发与生产。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高固着率、高色牢度、高提升性、高匀染性、高重现性、低沾污性以及低盐、低温、小浴比染色用和湿短蒸轧染用的活性染料，高超细旦聚酯纤维染色性、高洗涤牢度、高染着率、高光牢度和低沾污性（尼龙、氨纶）、高耐碱性、低毒低害环保型、小浴比染色用的分散染料，聚酰胺纤维、羊毛和皮革染色用高耐洗、高氯漂、高匀染、高遮盖力的酸性染料，高色牢度、功能性还原染料，高耐晒牢度、高耐气候牢度、低芳胺、无重金属、易分散、原浆着色的有机颜料，采用上述染料、颜料生产的水性液态着色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染料、有机颜料及其中间体清洁生产、本质安全的新技术（包括催化、三氧化硫磺化、高浓度发烟硫酸连续磺化、连续硝化、绝热硝化、连续酰化、连续萃取、连续加氢还原、连续重氮偶合、定向氯化、组合增效、溶剂反应、双氧水氧化、循环利用等技术，以及取代光气等剧毒原料的适用技术，膜过滤和原浆干燥技术）的开发和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水性木器、工业、船舶涂料、高固体分、无溶剂、辐射固化、功能性外墙外保温涂料中低VOCs含量的环境友好、资源节约型涂料，用于大飞机、高铁等重点领域的高性能防腐涂料生产。单线产能3万吨/年及以上氯化法钛白粉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新型、环保型、可替代进口的油剂、助剂、染化料生产。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新型除草剂生产及开发利用。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26</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有机硅及其下游产品生产和开发利用。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生物高分子材料、填料、试剂、芯片、干扰素、传感器、纤维素酶、碱性蛋白酶、诊断用酶等酶制剂、纤维素生化产品开发与生产。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乙烯裂解下游有机原料和新型合成材料研发生产。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E29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28</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乙烯-乙烯醇共聚树脂、聚偏氯乙烯等高性能阻隔树脂，聚异丁烯、乙烯-辛烯共聚物、茂金属聚乙烯等特种聚烯烃，高碳α烯烃等关键原料的开发与生产，液晶聚合物、聚苯硫醚、聚苯醚、芳族酮聚合物、聚芳醚醚腈等工程塑料生产以及共混改性、合金化技术开发和应用，高吸水性树脂、导电性树脂和可降解聚合物的开发与生产，长碳链尼龙、耐高温尼龙等新型聚酰胺开发与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E30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29</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高性能密封材料，高性能子午线轮胎及智能制造技术与装备，航空轮胎及农用子午胎及配套专用材料、设备生产，新型天然橡胶开发与应用。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E31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29</w:t>
            </w:r>
          </w:p>
        </w:tc>
        <w:tc>
          <w:tcPr>
            <w:tcW w:w="4140"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易回收、可降解的薄膜和渗透气化膜生产。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六、五大现代服务业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（一）研发检测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F01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国家高技术产业化基地项目，国家、省、市高技术产业发展项目，国家和省工程研究中心、技术中心建设项目，国家和省、市重点科技攻关项目、重点工业性试验项目，新产品开发、重大新技术推广示范、应用项目</w:t>
            </w:r>
            <w:r>
              <w:rPr>
                <w:rFonts w:ascii="仿宋_GB2312" w:hAnsi="仿宋_GB2312" w:eastAsia="仿宋_GB2312" w:cs="仿宋_GB2312"/>
                <w:color w:val="000000"/>
                <w:kern w:val="0"/>
                <w:sz w:val="24"/>
              </w:rPr>
              <w:t>,国家、省科技型中小企业技术创新基（资）金项目、国家火炬项目。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F02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73</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国家和省重点实验室、高新技术研究开发中心、高新技术创业服务中心，高技术产业孵化器、行业研发中心建设项目。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w:t>
            </w:r>
            <w:r>
              <w:rPr>
                <w:rFonts w:hint="eastAsia" w:ascii="Times New Roman" w:hAnsi="Times New Roman" w:eastAsia="仿宋_GB2312" w:cs="Times New Roman"/>
                <w:color w:val="000000"/>
                <w:kern w:val="0"/>
                <w:sz w:val="24"/>
              </w:rPr>
              <w:t>03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生物技术、新材料技术、节能技术、新能源技术、环保技术、三维（3D）打印技术及其他机技术等科技推广和应用服务业。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w:t>
            </w:r>
            <w:r>
              <w:rPr>
                <w:rFonts w:hint="eastAsia" w:ascii="Times New Roman" w:hAnsi="Times New Roman" w:eastAsia="仿宋_GB2312" w:cs="Times New Roman"/>
                <w:color w:val="000000"/>
                <w:kern w:val="0"/>
                <w:sz w:val="24"/>
              </w:rPr>
              <w:t>04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Fonts w:hint="eastAsia" w:ascii="仿宋_GB2312" w:hAnsi="仿宋_GB2312" w:eastAsia="仿宋_GB2312" w:cs="仿宋_GB2312"/>
                <w:color w:val="000000"/>
                <w:kern w:val="0"/>
                <w:sz w:val="24"/>
              </w:rPr>
              <w:t>知识产权代理、转让、登记、鉴定、检索、分析、评估、运营、认证、咨询和相关投融资服务。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w:t>
            </w:r>
            <w:r>
              <w:rPr>
                <w:rFonts w:hint="eastAsia" w:ascii="Times New Roman" w:hAnsi="Times New Roman" w:eastAsia="仿宋_GB2312" w:cs="Times New Roman"/>
                <w:color w:val="000000"/>
                <w:kern w:val="0"/>
                <w:sz w:val="24"/>
              </w:rPr>
              <w:t>05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科技信息交流、文献信息检索、技术咨询、技术孵化、科技成果评估、科技成果转移转化服务和科技鉴证等服务。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w:t>
            </w:r>
            <w:r>
              <w:rPr>
                <w:rFonts w:hint="eastAsia" w:ascii="Times New Roman" w:hAnsi="Times New Roman" w:eastAsia="仿宋_GB2312" w:cs="Times New Roman"/>
                <w:color w:val="000000"/>
                <w:kern w:val="0"/>
                <w:sz w:val="24"/>
              </w:rPr>
              <w:t>06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技术成果交易中心、技术成果转化中心建设，提供科技中介等服务。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w:t>
            </w:r>
            <w:r>
              <w:rPr>
                <w:rFonts w:hint="eastAsia" w:ascii="Times New Roman" w:hAnsi="Times New Roman" w:eastAsia="仿宋_GB2312" w:cs="Times New Roman"/>
                <w:color w:val="000000"/>
                <w:kern w:val="0"/>
                <w:sz w:val="24"/>
              </w:rPr>
              <w:t>07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创业空间服务。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w:t>
            </w:r>
            <w:r>
              <w:rPr>
                <w:rFonts w:hint="eastAsia" w:ascii="Times New Roman" w:hAnsi="Times New Roman" w:eastAsia="仿宋_GB2312" w:cs="Times New Roman"/>
                <w:color w:val="000000"/>
                <w:kern w:val="0"/>
                <w:sz w:val="24"/>
              </w:rPr>
              <w:t>08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半导体、生命健康、智能汽车及智能装备等专业科技服务，标准化服务、计量测试、质量认证和检验检测服务、科技普及。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F09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第三方检验检测机构、国家级检验中心、省级质量检验中心等检测机构。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（二）电子商务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建设跨境电子商务创业创新中心、跨境电子商务服务中心、跨境电子商务大数据中心、综合性第三方电子商务服务平台、专业性第三方电子商务服务平台，企业建设独立的电子商务平台，电子商务应用推广。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电子商务支撑体系项目、电子商务服务项目建设。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72</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现代供应链创新与应用。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47</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物联网技术、大数据技术、云计算技术、人工智能技术、自动识别和标识技术、电子数据交换技术、可视化技术、货物跟踪和快速分拣技术、移动物流信息服务技术、全球定位系统、地理信息系统、道路交通信息通讯系统、智能交通系统、智能包装仓储配送、物流信息系统安全技术及立体仓库技术的研发与应用等及智慧设施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全国和区域性智慧物流公共信息平台建设。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highlight w:val="yellow"/>
              </w:rPr>
            </w:pPr>
            <w:r>
              <w:rPr>
                <w:rFonts w:hint="eastAsia" w:ascii="仿宋_GB2312" w:hAnsi="仿宋_GB2312" w:eastAsia="仿宋_GB2312" w:cs="仿宋_GB2312"/>
                <w:b/>
                <w:bCs/>
                <w:color w:val="000000"/>
                <w:kern w:val="0"/>
                <w:sz w:val="24"/>
              </w:rPr>
              <w:t>（三）科技金融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highlight w:val="yellow"/>
              </w:rPr>
            </w:pPr>
            <w:r>
              <w:rPr>
                <w:rFonts w:hint="eastAsia" w:ascii="Times New Roman" w:hAnsi="Times New Roman" w:eastAsia="仿宋_GB2312" w:cs="Times New Roman"/>
                <w:color w:val="000000"/>
                <w:kern w:val="0"/>
                <w:sz w:val="24"/>
              </w:rPr>
              <w:t>F15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知识产权、收益权等无形资产贷款质押业务开发。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融资担保服务、融资租赁服务。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F17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kern w:val="0"/>
                <w:sz w:val="24"/>
                <w:szCs w:val="24"/>
              </w:rPr>
              <w:t>金融机构的金融科技产品研发、应用和服务输出。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F18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金融监管技术开发与应用。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F19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Style w:val="7"/>
                <w:rFonts w:hint="default" w:hAnsi="仿宋_GB2312"/>
                <w:sz w:val="24"/>
                <w:szCs w:val="24"/>
              </w:rPr>
            </w:pPr>
            <w:r>
              <w:rPr>
                <w:rStyle w:val="7"/>
                <w:rFonts w:hint="default" w:hAnsi="仿宋_GB2312"/>
                <w:sz w:val="24"/>
                <w:szCs w:val="24"/>
              </w:rPr>
              <w:t>证券市场服务、公开募集证券投资基金、创业投资基金和天使基金等非公开募集证券投资基金、期货市场服务等资本市场服务。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F20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符合条件的金融机构设立网络银行、网络保险等创新型网络金融机构和平台。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F21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中小企业金融服务业。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F2</w:t>
            </w:r>
            <w:r>
              <w:rPr>
                <w:rFonts w:hint="eastAsia" w:ascii="Times New Roman" w:hAnsi="Times New Roman" w:eastAsia="仿宋_GB2312" w:cs="Times New Roman"/>
                <w:color w:val="000000"/>
                <w:kern w:val="0"/>
                <w:sz w:val="24"/>
              </w:rPr>
              <w:t>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66</w:t>
            </w:r>
          </w:p>
        </w:tc>
        <w:tc>
          <w:tcPr>
            <w:tcW w:w="4140" w:type="pct"/>
            <w:tcBorders>
              <w:tl2br w:val="nil"/>
              <w:tr2bl w:val="nil"/>
            </w:tcBorders>
            <w:shd w:val="clear" w:color="auto" w:fill="auto"/>
            <w:tcMar>
              <w:top w:w="15" w:type="dxa"/>
              <w:left w:w="15" w:type="dxa"/>
              <w:right w:w="15" w:type="dxa"/>
            </w:tcMar>
            <w:vAlign w:val="center"/>
          </w:tcPr>
          <w:p>
            <w:pPr>
              <w:widowControl/>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商业担保、财务公司、消费金融公司等创新型金融机构。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F2</w:t>
            </w:r>
            <w:r>
              <w:rPr>
                <w:rFonts w:hint="eastAsia" w:ascii="Times New Roman" w:hAnsi="Times New Roman" w:eastAsia="仿宋_GB2312" w:cs="Times New Roman"/>
                <w:color w:val="000000"/>
                <w:kern w:val="0"/>
                <w:sz w:val="24"/>
              </w:rPr>
              <w:t>3</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68</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保险服务，保险资产管理、保险中介服务及其他保险服务等。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F2</w:t>
            </w:r>
            <w:r>
              <w:rPr>
                <w:rFonts w:hint="eastAsia" w:ascii="Times New Roman" w:hAnsi="Times New Roman" w:eastAsia="仿宋_GB2312" w:cs="Times New Roman"/>
                <w:color w:val="000000"/>
                <w:kern w:val="0"/>
                <w:sz w:val="24"/>
              </w:rPr>
              <w:t>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69</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金融分析、金融交易、金融决策、征信机构服务及相关金融数据服务等金融信息服务。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（四）软件信息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F25</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面向重大行业领域应用，开展操作系统、数据库、中间件、办公软件等基础软件技术和产品研发和应用，面向新型智能终端、智能装备等的基础软件平台，以及面向各行业应用的重大集成应用平台。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F26</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云计算、大数据、移动互联网、物联网等新兴领域关键软件产品研发、生产和解决方案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F27</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智能芯片、无人驾驶、航空航飞、虚拟现实、</w:t>
            </w:r>
            <w:r>
              <w:rPr>
                <w:rFonts w:ascii="仿宋_GB2312" w:hAnsi="仿宋_GB2312" w:eastAsia="仿宋_GB2312" w:cs="仿宋_GB2312"/>
                <w:color w:val="000000"/>
                <w:kern w:val="0"/>
                <w:sz w:val="24"/>
              </w:rPr>
              <w:t>3D打印、人机物融合计算等前沿性领域软件研发。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F28</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面向移动智能终端、智能网联汽车、机器人等平台的移动支付、数字内容服务、智能应用等新型服务软件研发。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2"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F29</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工业操作系统及工业大数据管理系统支持研发计算机辅助设计与仿真、制造执行系统、企业管理系统、产品全生命周期管理等软件；面向异构数据管理、边缘计算、工业机理模型及微服务开发、工业</w:t>
            </w:r>
            <w:r>
              <w:rPr>
                <w:rFonts w:ascii="仿宋_GB2312" w:hAnsi="仿宋_GB2312" w:eastAsia="仿宋_GB2312" w:cs="仿宋_GB2312"/>
                <w:color w:val="000000"/>
                <w:kern w:val="0"/>
                <w:sz w:val="24"/>
              </w:rPr>
              <w:t>APP应用、虚拟仿真设计、网络协同制造、质量检测分析、设备健康管理、产品远程运维等工业场景的软件研发和产业化应用。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F30</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基础软件、支撑软件、应用软件和其他软件开发。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F31</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工业控制系统、先进制造系统、数字化软件、企业管理和行业应用软件、电子商务和电子政务关键软件与系统、教育软件和家用软件、网络软件和通信软件、嵌入式软件与系统、工程软件、工业设计软件、自动化应用软件等应用软件开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F32</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关键基础软件通用操作系统和集成应用开发平台建设，主要包括数据库管理系统、信息安全软件、工具软件、中文信息处理系统及产品、流媒体相关软件、地理信息系统及开发平台等。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F33</w:t>
            </w:r>
          </w:p>
        </w:tc>
        <w:tc>
          <w:tcPr>
            <w:tcW w:w="42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65</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信息软件业服务外包。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5000" w:type="pct"/>
            <w:gridSpan w:val="3"/>
            <w:tcBorders>
              <w:tl2br w:val="nil"/>
              <w:tr2bl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（五）文化旅游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F34</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78</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文化旅游、乡村旅游、生态旅游、工业旅游及其他旅游资源综合开发、基础设施建设及信息等服务。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F35</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运用大数据、云计算、物联网、虚拟现实等先进技术，结合新材料、新技术、新工艺等进行的产品设计、系统设计、工艺流程设计、商业模式和服务设计等。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F36</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半导体、智能汽车、智能装备、航空航天、新材料等智能制造领域的工业设计。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F37</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化妆品新产品研发生产及包装设计等。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F38</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智能型箱包、时尚箱包、皮具配饰等设计和研发。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F39</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丝绸、女装、童装、纺织面料等设计和研发。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F40</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74</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工艺品设计、加工、生产及销售。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F41</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72</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会展服务（不含会展场馆建设）。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43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F42</w:t>
            </w:r>
          </w:p>
        </w:tc>
        <w:tc>
          <w:tcPr>
            <w:tcW w:w="424" w:type="pct"/>
            <w:tcBorders>
              <w:tl2br w:val="nil"/>
              <w:tr2bl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72</w:t>
            </w:r>
          </w:p>
        </w:tc>
        <w:tc>
          <w:tcPr>
            <w:tcW w:w="4140" w:type="pct"/>
            <w:tcBorders>
              <w:tl2br w:val="nil"/>
              <w:tr2bl w:val="nil"/>
            </w:tcBorders>
            <w:shd w:val="clear" w:color="auto" w:fill="auto"/>
            <w:tcMar>
              <w:top w:w="15" w:type="dxa"/>
              <w:left w:w="15" w:type="dxa"/>
              <w:right w:w="15" w:type="dxa"/>
            </w:tcMar>
            <w:vAlign w:val="center"/>
          </w:tcPr>
          <w:p>
            <w:pPr>
              <w:widowControl/>
              <w:jc w:val="left"/>
              <w:textAlignment w:val="top"/>
              <w:rPr>
                <w:rFonts w:ascii="仿宋_GB2312" w:hAnsi="仿宋_GB2312" w:eastAsia="仿宋_GB2312" w:cs="仿宋_GB2312"/>
                <w:color w:val="000000"/>
                <w:sz w:val="24"/>
              </w:rPr>
            </w:pPr>
            <w:r>
              <w:rPr>
                <w:rStyle w:val="7"/>
                <w:rFonts w:hint="default" w:hAnsi="仿宋_GB2312"/>
                <w:sz w:val="24"/>
                <w:szCs w:val="24"/>
              </w:rPr>
              <w:t>广告策划、制作及服务等广告业。</w:t>
            </w:r>
          </w:p>
        </w:tc>
      </w:tr>
    </w:tbl>
    <w:p/>
    <w:p/>
    <w:p/>
    <w:p/>
    <w:p/>
    <w:p/>
    <w:p/>
    <w:p>
      <w:pPr>
        <w:pStyle w:val="3"/>
        <w:numPr>
          <w:ilvl w:val="0"/>
          <w:numId w:val="1"/>
        </w:numPr>
        <w:snapToGrid w:val="0"/>
        <w:spacing w:before="120" w:after="120" w:line="360" w:lineRule="auto"/>
        <w:rPr>
          <w:rFonts w:ascii="楷体" w:hAnsi="楷体" w:eastAsia="楷体" w:cs="楷体"/>
        </w:rPr>
      </w:pPr>
      <w:bookmarkStart w:id="4" w:name="_Toc32210"/>
      <w:bookmarkStart w:id="5" w:name="_Toc11094"/>
      <w:r>
        <w:rPr>
          <w:rFonts w:hint="eastAsia" w:ascii="楷体" w:hAnsi="楷体" w:eastAsia="楷体" w:cs="楷体"/>
        </w:rPr>
        <w:t>限制类目录</w:t>
      </w:r>
      <w:bookmarkEnd w:id="4"/>
      <w:bookmarkEnd w:id="5"/>
    </w:p>
    <w:tbl>
      <w:tblPr>
        <w:tblStyle w:val="5"/>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20"/>
        <w:gridCol w:w="77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blHeader/>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序号</w:t>
            </w:r>
          </w:p>
        </w:tc>
        <w:tc>
          <w:tcPr>
            <w:tcW w:w="462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限  制  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4627" w:type="pct"/>
            <w:tcBorders>
              <w:tl2br w:val="nil"/>
              <w:tr2bl w:val="nil"/>
            </w:tcBorders>
            <w:shd w:val="clear" w:color="auto" w:fill="auto"/>
            <w:tcMar>
              <w:top w:w="15" w:type="dxa"/>
              <w:left w:w="15" w:type="dxa"/>
              <w:right w:w="15" w:type="dxa"/>
            </w:tcMar>
          </w:tcPr>
          <w:p>
            <w:pPr>
              <w:widowControl/>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食用植物油料转化生物燃料项目。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年加工玉米45万吨以下、绝干收率在98%以下玉米淀粉湿法生产线。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酒精生产线。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年产30万吨以下的黄酒生产线。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生产规模小于10万千升/年的啤酒项目（特种啤酒除外）。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年产1万吨以下的化纤抽丝、一般加弹丝项目。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吨原毛洗毛用水超过20吨的洗毛工艺与设备，绞纱染色工艺，亚氯酸钠漂白设备，普通涤纶载体染色。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间歇式染色设备浴比大于1：8的印染项目。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4627" w:type="pct"/>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缫丝、棉、麻、毛纺及一般织造项目。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年加工皮革50万张及以上、100万张（折牛皮标张）以下的制革项目，制革前工段（生产蓝湿皮）项目。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11</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单条生产线规模以下造纸项目，其中新闻纸年产小于30万吨，文化用纸年产小于10万吨、箱纸板和白纸板年产小于30万吨、其他纸板项目年产小于10万吨的项目。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12</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超薄型（厚度低于0.015毫米）塑料袋生产。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13</w:t>
            </w:r>
          </w:p>
        </w:tc>
        <w:tc>
          <w:tcPr>
            <w:tcW w:w="4627" w:type="pct"/>
            <w:tcBorders>
              <w:tl2br w:val="nil"/>
              <w:tr2bl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重污染、高风险化工产品生产和储存项目。偶氮苯类染料中间体，高污染、高能耗的合成农药，硫酸项目。（根据《浙江省建设项目主要污染物总量准入审核办法（试行）》，杭州临江高科园实行主要污染物排放总量控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rPr>
              <w:t>4</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高污染的医药中间体和化学药品原药制造项目（根据《浙江省建设项目主要污染物总量准入审核办法（试行）》，杭州临江高科园实行主要污染物排放总量控制）。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rPr>
              <w:t>5</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优质钾肥及各种专用肥、水溶肥、液体肥、中微量元素肥、硝基肥、缓控释肥的生产，硝酸磷肥法生产磷肥，氮肥企业节能减排和原料结构调整，磷石膏综合利用技术开发与应用，10万吨/年及以上湿法磷酸净化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rPr>
              <w:t>6</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单线产能小于20万吨/年的常规聚酯（PET）连续聚合生产装置。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rPr>
              <w:t>7</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溶剂型氯丁橡胶类、丁苯热塑性橡胶类、药用丁基橡胶塞等不符合国家节能环保等法律法规要求的橡胶制品。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18</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球窑拉丝、玻璃纤维制造。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19</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2000吨/日（不含）以下熟料新型干法水泥生产线（特种水泥生产线除外）,60万吨/年（不含）以下水泥粉磨站。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20</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新建电镀、发兰、酸处理等金属表面处理项目（为省、市重点项目配套的金属表面处理等必需工艺环节除外）。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21</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采用外化成工艺生产铅酸蓄电池。铅酸蓄电池生产中铸板、制粉、输粉、灌粉、和膏、涂板、刷板、配酸灌酸、外化成、称板、包板等人工作业工艺。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22</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经营性公墓建设项目。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23</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地质灾害低易发区内的建设项目。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24</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国家发展和改革委员会发布的《产业结构调整指导目录（2019年本）》规定的限制类项目。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25</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杭州市发展和改革委员会发布的《杭州市产业发展导向目录与产业平台布局指引(2019年本)》规定的限制类项目。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26</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《国家鼓励的有毒有害原料（产品）替代品目录（2016年版）》的通告工信部联节〔2016〕398号中的被替代产品。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27</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《浙江省制造业产业发展导向目录（2008年本）》规定的限制类项目。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2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28</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《浙江省人民政府办公厅关于促进建材工业稳增长调结构增效益的实施意见》（浙政办发〔2016〕170号）规定的限制类项目。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72"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29</w:t>
            </w:r>
          </w:p>
        </w:tc>
        <w:tc>
          <w:tcPr>
            <w:tcW w:w="4627"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tc>
      </w:tr>
    </w:tbl>
    <w:p/>
    <w:p>
      <w:pPr>
        <w:rPr>
          <w:rFonts w:ascii="仿宋_GB2312" w:hAnsi="Times New Roman" w:eastAsia="仿宋_GB2312" w:cs="Times New Roman"/>
        </w:rPr>
      </w:pPr>
    </w:p>
    <w:p>
      <w:pPr>
        <w:pStyle w:val="3"/>
        <w:numPr>
          <w:ilvl w:val="0"/>
          <w:numId w:val="1"/>
        </w:numPr>
        <w:snapToGrid w:val="0"/>
        <w:spacing w:before="120" w:after="120" w:line="360" w:lineRule="auto"/>
        <w:rPr>
          <w:rFonts w:ascii="楷体" w:hAnsi="楷体" w:eastAsia="楷体" w:cs="楷体"/>
        </w:rPr>
      </w:pPr>
      <w:bookmarkStart w:id="6" w:name="_Toc30082"/>
      <w:bookmarkStart w:id="7" w:name="_Toc15775"/>
      <w:r>
        <w:rPr>
          <w:rFonts w:hint="eastAsia" w:ascii="楷体" w:hAnsi="楷体" w:eastAsia="楷体" w:cs="楷体"/>
        </w:rPr>
        <w:t>禁止类目录</w:t>
      </w:r>
      <w:bookmarkEnd w:id="6"/>
      <w:bookmarkEnd w:id="7"/>
    </w:p>
    <w:tbl>
      <w:tblPr>
        <w:tblStyle w:val="5"/>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40"/>
        <w:gridCol w:w="75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blHeader/>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序号</w:t>
            </w:r>
          </w:p>
        </w:tc>
        <w:tc>
          <w:tcPr>
            <w:tcW w:w="4555"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禁止（淘汰）类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水银制造。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新建、扩建年开采规模小于30万吨矿石量的铅锌矿、钼矿开采项目。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新建、扩建钨金属储量小于1万吨、年开采规模小于30万吨矿石量的钨矿开采项目（现有钨矿山的深部和边部资源开采扩建项目除外）。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建、扩建钼、锡、锑冶炼项目以及氧化锑、铅锡焊料生产项目（符合国家节能环保等法律法规要求的项目除外），稀土采选、冶炼分离项目（符合稀土开采、冶炼分离总量控制指标要求的稀土企业集团项目除外）以及稀土二次资源回收与综合利用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5</w:t>
            </w:r>
          </w:p>
        </w:tc>
        <w:tc>
          <w:tcPr>
            <w:tcW w:w="4555" w:type="pct"/>
            <w:tcBorders>
              <w:tl2br w:val="nil"/>
              <w:tr2bl w:val="nil"/>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3 </w:t>
            </w:r>
            <w:r>
              <w:rPr>
                <w:rFonts w:hint="eastAsia" w:ascii="仿宋_GB2312" w:hAnsi="仿宋_GB2312" w:eastAsia="仿宋_GB2312" w:cs="仿宋_GB2312"/>
                <w:color w:val="000000"/>
                <w:kern w:val="0"/>
                <w:sz w:val="24"/>
              </w:rPr>
              <w:t>万吨</w:t>
            </w:r>
            <w:r>
              <w:rPr>
                <w:rFonts w:ascii="仿宋_GB2312" w:hAnsi="仿宋_GB2312" w:eastAsia="仿宋_GB2312" w:cs="仿宋_GB2312"/>
                <w:color w:val="000000"/>
                <w:kern w:val="0"/>
                <w:sz w:val="24"/>
              </w:rPr>
              <w:t>/年以下酒精生产线（废糖蜜制酒精除外）</w:t>
            </w:r>
            <w:r>
              <w:rPr>
                <w:rFonts w:hint="eastAsia" w:ascii="仿宋_GB2312" w:hAnsi="仿宋_GB2312" w:eastAsia="仿宋_GB2312" w:cs="仿宋_GB2312"/>
                <w:color w:val="000000"/>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6</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烧炭项目。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土法（钳锅炉）炼铜、铝、铅、锌项目。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土法采选金、钼、铅锌项目。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等电离交工艺的谷氨酸生产线，5万吨/年以下味精生产装置。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年处理15万吨以下、总干物收率97%以下的湿法玉米淀粉生产线（特种玉米淀粉生产线除外）。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11</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生产能力12000瓶/时以下的玻璃瓶啤酒灌装生产线；3万吨/年以下酒精生产线（废糖蜜制酒精除外）。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未经改造的74型染整生产线。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使用年限超过15年的国产和使用年限超过20年的进口印染前处理设备、拉幅和定形设备、圆网和平网印花机、连续染色机。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使用年限超过15年的浴比大于1∶10的棉及化纤间歇式染色设备。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15</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可比单位综合能耗高于30千克标准煤/百米的印染布生产能力。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16</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未纳管印染企业，排放废水化学需氧量（COD）高于60毫克/升，氨氮高于10毫克/升，总氮高于12毫克/升和总磷高于0.5毫克/升；其它地区未纳管印染企业，排放废水化学需氧量（COD）高于80毫克/升，氨氮高于12毫克/升，总氮高于15毫克/升和总磷高于0.5毫克/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年产200万米以下的呢绒染色项目。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年产500万米以下的土工布项目(除传统和手工艺外)。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19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年产50 万张（折成牛皮标张）及以下制革项目。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20</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年产3 万吨以下的薄型纸生产项目。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21</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年产5.1万吨以下的化学木浆生产线。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年产3万吨及以下的以废纸为原料的造纸生产线（特种纸除外）。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单条3.4万吨/年以下的非木浆生产线。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rPr>
              <w:t>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单条1万吨/年及以下、以废纸为原料的制浆生产线。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25</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化学制浆生产线（特种纸浆除外）。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rPr>
              <w:t>6</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幅宽在1.76米以下并且车速为120米/分钟以下的文化纸生产线。幅宽在2米以下并且车速为80米/分钟以下的白纸板、箱纸板、瓦楞纸及低档纸板生产线。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rPr>
              <w:t>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年产15万吨及以下的，产品单位产量综合能耗高于195千克标准煤/吨的涂布白纸板（合格品）生产能力。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28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年产10万吨及以下的，产品单位产量综合能耗高于200千克标准煤/吨的箱纸板（合格品）生产能力。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rPr>
              <w:t>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年产10万吨及以下的，瓦楞芯（原）纸（合格品）产品单位产量综合能耗高于180千克标准煤/吨的瓦楞芯（原）纸（合格品）生产能力。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30</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产品单位产量综合能耗高于940千克标准煤/吨的卷烟纸生产能力。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31</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水污染排放化学需氧量（COD）高于100毫克/升或氨氮高于12毫克/升或基准排水量高于50吨/吨（浆）的制浆生产线。水污染排放化学需氧量（COD）高于90毫克/升或氨氮高于8毫克/升或基准排水量高于40吨/吨（浆）的制浆和造纸联合生产线。水污染排放化学需氧量（COD）高于80毫克/升或氨氮高于8毫克/升或基准排水量高于20吨/吨（浆）（特种纸除外）的造纸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32</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品废水排放量高于18立方米/吨的白板纸生产线，单位产品废水排放量高于16立方米/吨的箱板纸生产线，单位产品废水排放量高于16立方米/吨的瓦楞纸生产线，其他单位产品废水排放量高于20立方米/吨的造纸生产线（特种纸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33</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炼焦、油（包括废油提纯再生）项目。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34</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土法农药制造项目。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35</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kern w:val="0"/>
                <w:sz w:val="24"/>
              </w:rPr>
            </w:pPr>
            <w:r>
              <w:rPr>
                <w:rFonts w:hint="eastAsia" w:ascii="仿宋_GB2312" w:hAnsi="宋体" w:eastAsia="仿宋_GB2312" w:cs="仿宋_GB2312"/>
                <w:color w:val="000000"/>
                <w:kern w:val="0"/>
                <w:sz w:val="24"/>
              </w:rPr>
              <w:t>禁止新建、扩建涉及硝化、光气化危险化工工艺的项目（采用微通道或连续化工艺的除外）。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36</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高毒农药产品：六六六、二溴乙烷、丁酰肼、敌枯双、除草醚、杀虫脒、毒鼠强、氟乙酰胺、氟乙酸钠、二溴氯丙烷、治螟磷（苏化203）、磷胺、甘氟、毒鼠硅、甲胺磷、对硫磷、甲基对硫磷、久效磷、硫环磷（乙基硫环磷）、福美胂、福美甲胂及所有砷制剂、汞制剂、铅制剂、10%草甘膦水剂，甲基硫环磷、磷化钙、磷化锌、苯线磷、地虫硫磷、磷化镁、硫线磷、蝇毒磷、治螟磷、特丁硫磷、三氯杀螨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37</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根据国家履行国际公约总体计划要求进行淘汰农药产品：氯丹、七氯、溴甲烷、滴滴涕、六氯苯、灭蚁灵、林丹、毒杀芬、艾氏剂、狄氏剂、异狄氏剂、硫丹、氟虫胺、十氯酮、α-六氯环己烷、β-六氯环己烷。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38</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钠法百草枯生产工艺，敌百虫碱法敌敌畏生产工艺，小包装（1公斤及以下）农药产品手工包（灌）装工艺及设备，雷蒙机法生产农药粉剂，以六氯苯为原料生产五氯酚（钠）装置。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39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10万吨/年以下的硫铁矿制酸和硫磺制酸，平炉氧化法高锰酸钾，隔膜法烧碱生产装置（作为废盐综合利用的可以保留）。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40</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平炉法和大锅蒸发法硫化碱生产工艺、芒硝法硅酸钠（泡花碱）生产工艺，间歇焦炭法二硫化碳工艺。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41</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单台产能5000吨/年以下和不符合准入条件的黄磷生产装置，有钙焙烧铬化合物生产装置。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单线产能3000吨/年以下普通级硫酸钡、氢氧化钡、氯化钡、硝酸钡生产装置。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产能1万吨/年以下氯酸钠生产装置。内燃式电石炉，高汞催化剂（氯化汞含量6.5％以上）和使用高汞催化剂的乙炔法聚氯乙烯，使用汞或汞化合物的甲醇钠、甲醇钾、乙醇钠、乙醇钾、聚氨酯、乙醛、烧碱、生物杀虫剂和局部抗菌剂生产装置，氨钠法及氰熔体氰化钠生产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线产能1万吨/年以下三聚磷酸钠、0.5万吨/年以下六偏磷酸钠、0.5万吨/年以下三氯化磷、3万吨/年以下饲料磷酸氢钙、5000吨/年以下工艺技术落后和污染严重的氢氟酸、5000吨/年以下湿法氟化铝及敞开式结晶氟盐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45</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线产能0.3万吨/年以下氰化钠（100%氰化钠）、1万吨/年以下氢氧化钾、1.5万吨/年以下普通级白炭黑、2万吨/年以下普通级碳酸钙、10万吨/年以下普通级无水硫酸钠（盐业联产及副产除外）、0.3万吨/年以下碳酸锂和氢氧化锂、2万吨/年以下普通级碳酸钡、1.5万吨/年以下普通级碳酸锶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pct"/>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46</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半水煤气氨水液相脱硫、天然气常压间歇转化工艺制合成氨、一氧化碳常压变化及全中温变换（高温变换）工艺。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没有配套硫磺回收装置的湿法脱硫工艺。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没有配套建设吹风气余热回收、造气炉渣综合利用装置的固定层间歇式煤气化装置。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49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没有配套工艺冷凝液水解解析装置的尿素生产设施。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50</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土法炼硫、明矾。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51</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氯氟烃（CFCs）、含氢氯氟烃（HCFCs）（化工原料用途且不对外销售的除外）、用于清洗的1,1,1-三氯乙烷（甲基氯仿）、主产四氯化碳（CTC）、以四氯化碳（CTC）为加工助剂的所有产品、以PFOA为加工助剂的含氟聚合物、含滴滴涕的涂料、采用滴滴涕为原料非封闭生产三氯杀螨醇生产装置（根据国家履行国际公约总体计划要求进行淘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单位产品综合能耗高于1480千克标准煤/吨的合成氨生产能力（合成氨原料用优质无烟块煤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单位产品综合能耗高于1630千克标准煤/吨的合成氨生产能力合成氨原料用非优质无烟块煤、型煤、水煤浆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合成氨工业废水排放含氨氮浓度高于40毫克/升或单位产品基准排水量高于10立方米/吨的合成氨（大型）生产能力；合成氨工业废水排放含氨氮浓度高于70毫克/升或单位产品基准排水量高于50立方米/吨的合成氨（中型）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55</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改性淀粉、改性纤维、多彩内墙 (树脂以硝化纤维素为主，溶剂以二甲苯为主的O/W型涂料)、氯乙烯-偏氯乙烯共聚乳液外墙、焦油型聚氨酯防水、水性聚氯乙烯焦油防水、聚乙烯醇及其缩醛类内外墙（106、107涂料等）、聚醋酸乙烯乳液类（含乙烯/醋酸乙烯酯共聚物乳液）外墙涂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56</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有害物质含量超标准的内墙、溶剂型木器、玩具、汽车、外墙涂料，含双对氯苯基三氯乙烷、三丁基锡、全氟辛酸及其盐类、全氟辛烷磺酸、红丹等有害物质的涂料。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在还原条件下会裂解产生24种有害芳香胺的偶氮染料（非纺织品用的领域暂缓）、九种致癌性染料（用于与人体不直接接触的领域暂缓）。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58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含苯类、苯酚、苯甲醛和二（三）氯甲烷的脱漆剂，立德粉，聚氯乙烯建筑防水接缝材料(焦油型)，107胶，瘦肉精，多氯联苯（变压器油）。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r>
              <w:rPr>
                <w:rFonts w:hint="eastAsia" w:ascii="Times New Roman" w:hAnsi="Times New Roman" w:eastAsia="仿宋_GB2312" w:cs="Times New Roman"/>
                <w:color w:val="000000"/>
                <w:kern w:val="0"/>
                <w:sz w:val="24"/>
              </w:rPr>
              <w:t>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年产1 万吨以下合成染料制造。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60</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无挥发性有机物收集、回收/净化设施，涉高VOCs含量溶剂型涂料、油墨、胶黏剂等生产和使用的项目。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61</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100吨/年以下皂素（含水解物，综合利用除外）生产装置，盐酸酸解法皂素生产工艺及污染物排放不能达标的皂素生产装置。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2</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劳动保护、三废治理不能达到国家标准的医药中间体、原料药生产装置。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3</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4万吨/年及以下粘胶常规短纤维生产线。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湿法氨纶生产工艺。二甲基甲酰胺（DMF）溶剂法氨纶及腈纶生产工艺。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5</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常规聚酯（PET）间歇法聚合生产工艺及设备（不包括经技改后能耗接近连续法生产，开发差别化切片的设备）。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66</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单位产量综合能耗高于120千克标准煤/吨的涤纶PTA-PET生产能力。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单位产量综合能耗高于170千克标准煤/吨的涤纶短纤维（直纺）生产能力；单位产量综合能耗高于180千克标准煤/吨的涤纶短纤维（切片纺）生产能力。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量可比综合能耗高于125千克标准煤/吨的涤纶POY-DTY（弹力丝）生产能力；单位产量可比综合能耗高于185千克标准煤/吨的涤纶POY-DTY（重网络丝）生产能力；单位产量可比综合能耗高于140千克标准煤/吨的涤纶POY-DTY（轻网络丝）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r>
              <w:rPr>
                <w:rFonts w:hint="eastAsia" w:ascii="Times New Roman" w:hAnsi="Times New Roman" w:eastAsia="仿宋_GB2312" w:cs="Times New Roman"/>
                <w:color w:val="000000"/>
                <w:kern w:val="0"/>
                <w:sz w:val="24"/>
              </w:rPr>
              <w:t>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量可比综合能耗高于165千克标准煤/吨的涤纶PTA-POY生产能力；单位产量可比综合能耗高于180千克标准煤/吨的涤纶PTA-FDY生产能力；单位产量可比综合能耗高于100千克标准煤/吨的涤纶PET-POY生产能力；单位产量可比综合能耗高于185千克标准煤/吨的涤纶PET-FDY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70</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产品单位综合能耗高于1000千克标准煤/吨的粘胶短纤维生产能力；产品单位综合能耗高于2300千克标准煤/吨的粘胶长丝生产能力。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71</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用火直接加热的涂料用树脂、四氯化碳溶剂法制取氯化橡胶生产工艺。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50万条/年及以下的斜交轮胎和以天然棉帘子布为骨架的轮胎生产线。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1.5万吨/年及以下的干法造粒炭黑（特种炭黑和半补强炭黑除外）、3亿只/年以下的天然胶乳安全套，橡胶硫化促进剂N-氧联二(1,2-亚乙基)-2-苯并噻唑次磺酰胺（NOBS）和橡胶防老剂D生产装置。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4</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软边结构自行车胎，以棉帘线为骨架材料的普通输送带和以尼龙帘线为骨架材料的普通V带，轮胎、自行车胎、摩托车胎手工刻花硫化模具。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5</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厚度低于0.025毫米的超薄型塑料袋、厚度低于0.01毫米的聚乙烯农用地膜、一次性泡沫塑料餐具、添加塑料微珠的牙膏和淋洗类化妆品。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6</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砖瓦轮窑，立窑、无顶轮窑、马蹄窑等土窑。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7</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干法中空窑（生产铝酸盐水泥等特种水泥除外），水泥机立窑，立波尔窑、湿法窑水泥生产线，日产1500吨以下小型新型干法水泥熟料生产线、直径3米（含）以下水泥磨机，日产300吨和350吨浮法玻璃生产线，直径3米（含）以下的落后矿粉磨机（生产特种水泥除外），年产20万吨以下的水泥生产企业、非资源地新建和扩建水泥熟料生产项目。停止生产32.5等级复合硅酸盐水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8</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非烧结、非蒸压粉煤灰砖生产线。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r>
              <w:rPr>
                <w:rFonts w:hint="eastAsia" w:ascii="Times New Roman" w:hAnsi="Times New Roman" w:eastAsia="仿宋_GB2312" w:cs="Times New Roman"/>
                <w:color w:val="000000"/>
                <w:kern w:val="0"/>
                <w:sz w:val="24"/>
              </w:rPr>
              <w:t>9</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人工浇筑、非机械成型的石膏（空心）砌块生产工艺。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80</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实心粘土砖。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81</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单位产品综合能耗高于48千克标准煤/吨或单位产品电耗高于17.5千瓦时/吨的烧结多孔砖和多孔砌块生产能力。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2</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单位产品综合能耗高于50千克标准煤/吨或单位产品电耗高于18.5千瓦时/吨的烧结空心砖和空心砌块生产能力。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3</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单位产品综合能耗高于52千克标准煤/吨或单位产品电耗高于19.0千瓦时/吨的烧结保温砖和保温砌块生产能力。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4</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陶土坩埚拉丝玻璃纤维和制品及其增强塑料(玻璃钢)制品。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5</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石棉及其他放射性物质制品。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6</w:t>
            </w:r>
          </w:p>
        </w:tc>
        <w:tc>
          <w:tcPr>
            <w:tcW w:w="4555" w:type="pct"/>
            <w:tcBorders>
              <w:tl2br w:val="nil"/>
              <w:tr2bl w:val="nil"/>
            </w:tcBorders>
            <w:shd w:val="clear" w:color="auto" w:fill="auto"/>
            <w:tcMar>
              <w:top w:w="15" w:type="dxa"/>
              <w:left w:w="15" w:type="dxa"/>
              <w:right w:w="15" w:type="dxa"/>
            </w:tcMa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倒焰窑制面砖、马赛克、耐火材料生产。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7</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市生态环境管理部门核准的电镀集中区块以及为省、市重点项目配套的必要工艺外的存量电镀、发兰、酸处理等金属表面处理项目。手工电镀生产线（确因镀件或工艺需要进行手工电镀的，1 家企业只能保留1 条手工电镀生产线）和综合评价未达到进区标准、镀槽总容积在4 万升以下、连续两年产值在500 万元以下、中水回收率在50%以下的电镀企业和生产线。含有毒有害氰化物电镀工艺（电镀金、银、铜基合金及予镀铜打底工艺除外）、含氰沉锌工艺。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r>
              <w:rPr>
                <w:rFonts w:hint="eastAsia" w:ascii="Times New Roman" w:hAnsi="Times New Roman" w:eastAsia="仿宋_GB2312" w:cs="Times New Roman"/>
                <w:color w:val="000000"/>
                <w:kern w:val="0"/>
                <w:sz w:val="24"/>
              </w:rPr>
              <w:t>8</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铁粉还原法工艺（4，4-二氨基二苯乙烯-二磺酸［DSD酸］、2-氨基-4-甲基-5-氯苯磺酸［CLT酸］、1-氨基-8-萘酚-3，6-二磺酸［H酸］三种产品暂缓执行）。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89</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废旧汽车的拆解、翻新、改装项目</w:t>
            </w:r>
            <w:r>
              <w:rPr>
                <w:rFonts w:hint="eastAsia" w:ascii="仿宋_GB2312" w:hAnsi="仿宋_GB2312" w:eastAsia="仿宋_GB2312" w:cs="仿宋_GB2312"/>
                <w:color w:val="000000"/>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90</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白炽灯、高压汞灯，能效指标未达到国家标准的高压钠灯等光源产品和镇流器产品。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91</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开口式普通铅酸电池、干式荷电铅蓄电池。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r>
              <w:rPr>
                <w:rFonts w:hint="eastAsia" w:ascii="Times New Roman" w:hAnsi="Times New Roman" w:eastAsia="仿宋_GB2312" w:cs="Times New Roman"/>
                <w:color w:val="000000"/>
                <w:kern w:val="0"/>
                <w:sz w:val="24"/>
              </w:rPr>
              <w:t>2</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35 蒸吨/小时以下（不含）的燃煤（含水煤浆）锅炉。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r>
              <w:rPr>
                <w:rFonts w:hint="eastAsia" w:ascii="Times New Roman" w:hAnsi="Times New Roman" w:eastAsia="仿宋_GB2312" w:cs="Times New Roman"/>
                <w:color w:val="000000"/>
                <w:kern w:val="0"/>
                <w:sz w:val="24"/>
              </w:rPr>
              <w:t>3</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燃煤发电项目（热电联产项目除外），热电行业抽凝机组改造，1 家热电企业原则上只保留1 台抽凝式发电机组。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r>
              <w:rPr>
                <w:rFonts w:hint="eastAsia" w:ascii="Times New Roman" w:hAnsi="Times New Roman" w:eastAsia="仿宋_GB2312" w:cs="Times New Roman"/>
                <w:color w:val="000000"/>
                <w:kern w:val="0"/>
                <w:sz w:val="24"/>
              </w:rPr>
              <w:t>4</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不符合国家公布的淘汰机电设备目录和各类设备能效标准的电动机、变压器、锅炉、风机、泵、压缩机等落后低端设备。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r>
              <w:rPr>
                <w:rFonts w:hint="eastAsia" w:ascii="Times New Roman" w:hAnsi="Times New Roman" w:eastAsia="仿宋_GB2312" w:cs="Times New Roman"/>
                <w:color w:val="000000"/>
                <w:kern w:val="0"/>
                <w:sz w:val="24"/>
              </w:rPr>
              <w:t>5</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危险废物和放射性废物处置。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r>
              <w:rPr>
                <w:rFonts w:hint="eastAsia" w:ascii="Times New Roman" w:hAnsi="Times New Roman" w:eastAsia="仿宋_GB2312" w:cs="Times New Roman"/>
                <w:color w:val="000000"/>
                <w:kern w:val="0"/>
                <w:sz w:val="24"/>
              </w:rPr>
              <w:t>6</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属限制类项目，但环保指标达不到要求的均列入禁止类项目。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r>
              <w:rPr>
                <w:rFonts w:hint="eastAsia" w:ascii="Times New Roman" w:hAnsi="Times New Roman" w:eastAsia="仿宋_GB2312" w:cs="Times New Roman"/>
                <w:color w:val="000000"/>
                <w:kern w:val="0"/>
                <w:sz w:val="24"/>
              </w:rPr>
              <w:t>7</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未经法定许可占用水域和建设影响河道自然形态和水生态（环境）功能的项目。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98</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国家发展改革委、商务部发布的《市场准入负面清单（2020年版）》禁止准入类的投资项目。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99</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国家发展和改革委员会发布的《产业结构调整指导目录（2019年本）》规定的淘汰类项目。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100</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杭州市发展和改革委员会发布的《杭州市产业发展导向目录与产业平台布局指引(2019年本)》规定的禁止（淘汰类）项目。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101</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《浙江省淘汰落后生产能力指导目录（2012年本）》中明确的淘汰的装备、产品、生产线等落后产能。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102</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《浙江省制造业产业发展导向目录（2008年本）》规定的禁止和淘汰类项目。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103</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《浙江省人民政府办公厅关于促进建材工业稳增长调结构增效益的实施意见》（浙政办发[2016]170号）规定的禁止和淘汰类项目。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104</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《浙江省人民政府办公厅关于石化产业调结构促转型增效益的实施意见》（浙政办发[2017]81号）规定的禁止和淘汰类项目。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105</w:t>
            </w:r>
          </w:p>
        </w:tc>
        <w:tc>
          <w:tcPr>
            <w:tcW w:w="4555" w:type="pct"/>
            <w:tcBorders>
              <w:tl2br w:val="nil"/>
              <w:tr2bl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5954FB"/>
    <w:rsid w:val="BF59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71"/>
    <w:basedOn w:val="6"/>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2022-03-11T10:34:00Z</dcterms:created>
  <dc:creator>user</dc:creator>
  <cp:lastModifiedBy>user</cp:lastModifiedBy>
  <dcterms:modified xsi:type="dcterms:W3CDTF">2022-03-11T10:34:59Z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