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健康钱塘行动主要指标（2020-2022年）</w:t>
      </w:r>
    </w:p>
    <w:tbl>
      <w:tblPr>
        <w:tblStyle w:val="4"/>
        <w:tblW w:w="14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4207"/>
        <w:gridCol w:w="1081"/>
        <w:gridCol w:w="1046"/>
        <w:gridCol w:w="1336"/>
        <w:gridCol w:w="1374"/>
        <w:gridCol w:w="1235"/>
        <w:gridCol w:w="1099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tblHeader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类别</w:t>
            </w:r>
          </w:p>
        </w:tc>
        <w:tc>
          <w:tcPr>
            <w:tcW w:w="42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指标名称</w:t>
            </w:r>
          </w:p>
        </w:tc>
        <w:tc>
          <w:tcPr>
            <w:tcW w:w="108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单位</w:t>
            </w:r>
          </w:p>
        </w:tc>
        <w:tc>
          <w:tcPr>
            <w:tcW w:w="104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2020年</w:t>
            </w:r>
          </w:p>
        </w:tc>
        <w:tc>
          <w:tcPr>
            <w:tcW w:w="39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2022年</w:t>
            </w:r>
          </w:p>
        </w:tc>
        <w:tc>
          <w:tcPr>
            <w:tcW w:w="10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属性</w:t>
            </w:r>
          </w:p>
        </w:tc>
        <w:tc>
          <w:tcPr>
            <w:tcW w:w="23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填报部门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tblHeader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04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新区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省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napToGrid w:val="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snapToGrid w:val="0"/>
                <w:kern w:val="0"/>
                <w:sz w:val="24"/>
              </w:rPr>
              <w:t>中国</w:t>
            </w:r>
          </w:p>
        </w:tc>
        <w:tc>
          <w:tcPr>
            <w:tcW w:w="10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kern w:val="0"/>
                <w:sz w:val="24"/>
              </w:rPr>
            </w:pPr>
          </w:p>
        </w:tc>
        <w:tc>
          <w:tcPr>
            <w:tcW w:w="23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  <w:t>健康知识普及行动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（1）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培养健康科普讲师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人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350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500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（2）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★▲居民健康素养水平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0000FF"/>
                <w:kern w:val="0"/>
                <w:sz w:val="24"/>
                <w:lang w:val="en-US" w:eastAsia="zh-CN"/>
              </w:rPr>
              <w:t>29.8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35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28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≥22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（3）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▲应急救护知识年度普及率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增长2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增长2.5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累计25.8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（4）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★建立并完善健康科普专家库和资源库，构建健康科普知识发布和传播机制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实现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实现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实现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倡导性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  <w:t>合理膳食</w:t>
            </w:r>
            <w:r>
              <w:rPr>
                <w:rFonts w:hint="eastAsia" w:ascii="Times New Roman" w:hAnsi="Times New Roman" w:eastAsia="仿宋_GB2312"/>
                <w:b/>
                <w:snapToGrid w:val="0"/>
                <w:color w:val="800000"/>
                <w:kern w:val="0"/>
                <w:sz w:val="24"/>
                <w:szCs w:val="22"/>
              </w:rPr>
              <w:t>改善</w:t>
            </w:r>
            <w:r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  <w:t>行动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（5）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▲每万人营养指导员配备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人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—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（6）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企事业单位及社区食堂工作人员膳食营养知识知晓率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—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80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约束性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color w:val="8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napToGrid w:val="0"/>
                <w:color w:val="800000"/>
                <w:kern w:val="0"/>
                <w:sz w:val="24"/>
              </w:rPr>
              <w:t>全民</w:t>
            </w:r>
            <w:r>
              <w:rPr>
                <w:rFonts w:hint="eastAsia" w:ascii="Times New Roman" w:hAnsi="Times New Roman" w:eastAsia="仿宋_GB2312"/>
                <w:b/>
                <w:snapToGrid w:val="0"/>
                <w:color w:val="800000"/>
                <w:kern w:val="0"/>
                <w:sz w:val="24"/>
              </w:rPr>
              <w:t>健身推广</w:t>
            </w:r>
            <w:r>
              <w:rPr>
                <w:rFonts w:ascii="Times New Roman" w:hAnsi="Times New Roman" w:eastAsia="仿宋_GB2312"/>
                <w:b/>
                <w:snapToGrid w:val="0"/>
                <w:color w:val="800000"/>
                <w:kern w:val="0"/>
                <w:sz w:val="24"/>
              </w:rPr>
              <w:t>行动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（7）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★▲城乡居民达到《国民体质测定标准》合格以上的人数比例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93.6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≥94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93以上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≥90.86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社会发展局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（8）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★▲经常参加体育锻炼人数比例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44.2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≥45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42以上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≥37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社会发展局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（9）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★▲每千人拥有社会体育指导员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人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＞2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&gt;2.6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不少于1.9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1.9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社会发展局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  <w:t xml:space="preserve">健康细胞建设行动 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（10）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▲健康促进学校、健康机关、健康国企比例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80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100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65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（11）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▲健康社区累计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个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60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100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30%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（12）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▲健康家庭数量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户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100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500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10万户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（13）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▲国家卫生乡镇的比例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80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100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30以上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约束性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  <w:t>健康校园促进行动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（14）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▲儿童青少年总体近视率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降低1.5/年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降低1/年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约束性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（15）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超重和肥胖率控制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约束性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（16）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★▲符合要求的中小学体育与健康课程开课率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100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100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100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100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约束性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（17）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★▲国家学生体质健康标准达标优良率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≥50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≥50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≥50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  <w:t>职业健康</w:t>
            </w:r>
            <w:r>
              <w:rPr>
                <w:rFonts w:hint="eastAsia" w:ascii="Times New Roman" w:hAnsi="Times New Roman" w:eastAsia="仿宋_GB2312"/>
                <w:b/>
                <w:snapToGrid w:val="0"/>
                <w:color w:val="800000"/>
                <w:kern w:val="0"/>
                <w:sz w:val="24"/>
              </w:rPr>
              <w:t>指导</w:t>
            </w:r>
            <w:r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  <w:t>行动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（18）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★▲接尘工龄不足5年的劳动者新发尘肺病报告例数占年度报告总例数比例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—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0000FF"/>
                <w:kern w:val="0"/>
                <w:sz w:val="24"/>
                <w:lang w:eastAsia="zh-CN"/>
              </w:rPr>
              <w:t>保持零病例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明显下降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明显下降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（19）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▲重点行业用人单位劳动者职业健康检查率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&gt;91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91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bookmarkStart w:id="0" w:name="OLE_LINK3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  <w:bookmarkEnd w:id="0"/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  <w:t>健康环境提升行动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（20）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▲农村生活垃圾分类处理率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100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100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综合行政执法局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（21）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健康指导员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人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200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（22）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人均体育场地面积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平方米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2.0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2.2以上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社会发展局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（23）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★▲15岁以上人群吸烟率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lang w:bidi="ar"/>
              </w:rPr>
              <w:t>21.15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≤20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＜21.5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＜24.5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（24）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▲城市日空气质量达标天数比率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lang w:bidi="ar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完成市任务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完成国家任务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约束性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（25）</w:t>
            </w: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4"/>
              </w:rPr>
              <w:t>▲省控断面地表水水质优良（达到或优于Ⅲ类）比例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4"/>
              </w:rPr>
              <w:t>85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4"/>
              </w:rPr>
              <w:t>85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4"/>
              </w:rPr>
              <w:t>约束性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color w:val="000000"/>
                <w:kern w:val="0"/>
                <w:sz w:val="24"/>
                <w:szCs w:val="24"/>
              </w:rPr>
              <w:t>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（26）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▲污染地块安全利用率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lang w:bidi="ar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92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92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约束性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（27）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▲交通事故万车死亡率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lang w:bidi="ar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较2016年下降25%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较2016年下降25%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（28）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▲重特大道路交通事故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lang w:bidi="ar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基本消除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基本消除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约束性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napToGrid w:val="0"/>
                <w:color w:val="800000"/>
                <w:kern w:val="0"/>
                <w:sz w:val="24"/>
              </w:rPr>
              <w:t>医疗卫生优化行动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（29）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“名医、名科、名中心”工程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个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  <w:t>—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名医50名，名科10个，名中心2个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（30）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“两卡融合、刷脸就医”等智慧医疗覆盖率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—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100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约束性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（31）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每千人常住人口执业（助理）医师数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人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4.58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4.6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（32）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▲基层就诊率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lang w:bidi="ar"/>
              </w:rPr>
              <w:t>55.7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≥65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≥65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（33）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责任医生城乡居民规范签约率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—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35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约束性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color w:val="8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napToGrid w:val="0"/>
                <w:color w:val="800000"/>
                <w:kern w:val="0"/>
                <w:sz w:val="24"/>
              </w:rPr>
              <w:t>公共卫生提升行动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（34）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★新生儿遗传代谢性病疾筛查率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lang w:bidi="ar"/>
              </w:rPr>
              <w:t>96.68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≥98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≥98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tabs>
                <w:tab w:val="left" w:pos="590"/>
                <w:tab w:val="center" w:pos="1229"/>
              </w:tabs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（35）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★▲高血压患者规范管理率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61.07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≥70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≥66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≥60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（36）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★▲糖尿病患者规范管理率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60.22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≥70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≥66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≥60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（37）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▲养老机构为老年人提供医疗卫生服务比例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—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100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100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（38）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★▲农村适龄妇女宫颈癌和乳腺癌筛查覆盖率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—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≥85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≥80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≥80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约束性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  <w:t>心理健康</w:t>
            </w:r>
            <w:r>
              <w:rPr>
                <w:rFonts w:hint="eastAsia" w:ascii="Times New Roman" w:hAnsi="Times New Roman" w:eastAsia="仿宋_GB2312"/>
                <w:b/>
                <w:snapToGrid w:val="0"/>
                <w:color w:val="800000"/>
                <w:kern w:val="0"/>
                <w:sz w:val="24"/>
              </w:rPr>
              <w:t>服务</w:t>
            </w:r>
            <w:r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  <w:t>行动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（39）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▲居民心理健康素养水平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—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＞22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22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20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（40）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★▲配备专兼职心理健康工作人员的中小学校比例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100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100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80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80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约束性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（41）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开设心理健康教育课程达成率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—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100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color w:val="8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napToGrid w:val="0"/>
                <w:color w:val="800000"/>
                <w:kern w:val="0"/>
                <w:sz w:val="24"/>
              </w:rPr>
              <w:t>食品药品安全行动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（42）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主要食品质量安全抽检合格率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  <w:lang w:bidi="ar"/>
              </w:rPr>
              <w:t>99.77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≥99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约束性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市场监管分局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（43）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主要药品质量抽检总体合格率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98.5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≥98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约束性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lang w:bidi="ar"/>
              </w:rPr>
              <w:t>市场监管分局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（44）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农家宴放心厨房创建覆盖率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≥50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lang w:bidi="ar"/>
              </w:rPr>
              <w:t>市场监管分局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（45）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▲主要农产品省级检测合格率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1" w:name="OLE_LINK8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%</w:t>
            </w:r>
            <w:bookmarkEnd w:id="1"/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≥98%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≥98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≥98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约束性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农业水利发展服务中心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  <w:t>健康产业</w:t>
            </w:r>
            <w:r>
              <w:rPr>
                <w:rFonts w:hint="eastAsia" w:ascii="Times New Roman" w:hAnsi="Times New Roman" w:eastAsia="仿宋_GB2312"/>
                <w:b/>
                <w:snapToGrid w:val="0"/>
                <w:color w:val="800000"/>
                <w:kern w:val="0"/>
                <w:sz w:val="24"/>
              </w:rPr>
              <w:t>发展</w:t>
            </w:r>
            <w:r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  <w:t>行动</w:t>
            </w:r>
          </w:p>
        </w:tc>
        <w:tc>
          <w:tcPr>
            <w:tcW w:w="4207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both"/>
              <w:rPr>
                <w:rFonts w:ascii="Times New Roman" w:hAnsi="Times New Roman" w:eastAsia="仿宋_GB2312"/>
                <w:snapToGrid w:val="0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</w:rPr>
              <w:t>（46）</w:t>
            </w:r>
            <w:r>
              <w:rPr>
                <w:rFonts w:ascii="Times New Roman" w:hAnsi="Times New Roman" w:eastAsia="仿宋_GB2312"/>
                <w:snapToGrid w:val="0"/>
              </w:rPr>
              <w:t>▲社会办医服务量占比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</w:rPr>
              <w:t>—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</w:rPr>
              <w:t>20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20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预期性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教育与卫生健康局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4207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both"/>
              <w:rPr>
                <w:rFonts w:ascii="Times New Roman" w:hAnsi="Times New Roman" w:eastAsia="仿宋_GB2312"/>
                <w:snapToGrid w:val="0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</w:rPr>
              <w:t>（47）</w:t>
            </w:r>
            <w:r>
              <w:rPr>
                <w:rFonts w:ascii="Times New Roman" w:hAnsi="Times New Roman" w:eastAsia="仿宋_GB2312"/>
                <w:snapToGrid w:val="0"/>
                <w:lang w:bidi="ar"/>
              </w:rPr>
              <w:t>纳入省级生命健康千亿投资工程的项目完成率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</w:rPr>
              <w:t>%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</w:rPr>
              <w:t>—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</w:rPr>
              <w:t>100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/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</w:rPr>
              <w:t>约束性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eastAsia="仿宋_GB2312"/>
                <w:snapToGrid w:val="0"/>
              </w:rPr>
            </w:pPr>
            <w:r>
              <w:rPr>
                <w:rFonts w:ascii="Times New Roman" w:hAnsi="Times New Roman" w:eastAsia="仿宋_GB2312"/>
                <w:snapToGrid w:val="0"/>
              </w:rPr>
              <w:t>经发科技局</w:t>
            </w:r>
          </w:p>
        </w:tc>
      </w:tr>
    </w:tbl>
    <w:p>
      <w:pPr>
        <w:rPr>
          <w:snapToGrid w:val="0"/>
          <w:kern w:val="0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4"/>
        </w:rPr>
        <w:t>注：★为健康中国行动考核指标，▲为健康浙江行动指标。</w:t>
      </w:r>
    </w:p>
    <w:p>
      <w:bookmarkStart w:id="2" w:name="_GoBack"/>
      <w:bookmarkEnd w:id="2"/>
    </w:p>
    <w:sectPr>
      <w:footerReference r:id="rId3" w:type="default"/>
      <w:pgSz w:w="16838" w:h="11906" w:orient="landscape"/>
      <w:pgMar w:top="1134" w:right="1701" w:bottom="1134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85520" cy="457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552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Style w:val="6"/>
                              <w:rFonts w:hint="default"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6.05pt;width:77.6pt;mso-position-horizontal:outside;mso-position-horizontal-relative:margin;z-index:251659264;mso-width-relative:page;mso-height-relative:page;" filled="f" stroked="f" coordsize="21600,21600" o:gfxdata="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/yuzNQAAAAEAQAADwAAAAAAAAABACAAAAAiAAAAZHJzL2Rvd25yZXYueG1sUEsBAhQAFAAA&#10;AAgAh07iQE59yIG6AQAAcQMAAA4AAAAAAAAAAQAgAAAAIwEAAGRycy9lMm9Eb2MueG1sUEsFBgAA&#10;AAAGAAYAWQEAAE8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Style w:val="6"/>
                        <w:rFonts w:hint="default"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/>
                        <w:sz w:val="28"/>
                        <w:szCs w:val="28"/>
                      </w:rPr>
                      <w:t>11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肥肥</cp:lastModifiedBy>
  <dcterms:modified xsi:type="dcterms:W3CDTF">2021-04-08T03:14:50Z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C0B53A55EC71485E9EBAB863999EBD5E</vt:lpwstr>
  </property>
</Properties>
</file>