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rPr>
          <w:rFonts w:hint="eastAsia" w:ascii="方正小标宋简体" w:hAnsi="方正小标宋简体" w:eastAsia="方正小标宋简体" w:cs="方正小标宋简体"/>
          <w:color w:val="333333"/>
          <w:kern w:val="0"/>
          <w:sz w:val="44"/>
          <w:szCs w:val="44"/>
          <w:lang w:eastAsia="zh-CN"/>
        </w:rPr>
      </w:pPr>
      <w:r>
        <w:rPr>
          <w:rFonts w:hint="eastAsia" w:ascii="方正小标宋简体" w:hAnsi="方正小标宋简体" w:eastAsia="方正小标宋简体" w:cs="方正小标宋简体"/>
          <w:color w:val="333333"/>
          <w:kern w:val="0"/>
          <w:sz w:val="44"/>
          <w:szCs w:val="44"/>
          <w:lang w:eastAsia="zh-CN"/>
        </w:rPr>
        <w:t>杭州市钱塘区人民政府下沙街道办事处</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880" w:firstLineChars="200"/>
        <w:jc w:val="both"/>
        <w:textAlignment w:val="auto"/>
        <w:rPr>
          <w:rFonts w:hint="eastAsia" w:ascii="方正小标宋简体" w:hAnsi="方正小标宋简体" w:eastAsia="方正小标宋简体" w:cs="方正小标宋简体"/>
          <w:color w:val="333333"/>
          <w:kern w:val="0"/>
          <w:sz w:val="44"/>
          <w:szCs w:val="44"/>
          <w:lang w:eastAsia="zh-CN"/>
        </w:rPr>
      </w:pPr>
      <w:r>
        <w:rPr>
          <w:rFonts w:hint="eastAsia" w:ascii="方正小标宋简体" w:hAnsi="方正小标宋简体" w:eastAsia="方正小标宋简体" w:cs="方正小标宋简体"/>
          <w:color w:val="333333"/>
          <w:kern w:val="0"/>
          <w:sz w:val="44"/>
          <w:szCs w:val="44"/>
          <w:lang w:val="en-US" w:eastAsia="zh-CN"/>
        </w:rPr>
        <w:t>2021年</w:t>
      </w:r>
      <w:r>
        <w:rPr>
          <w:rFonts w:hint="eastAsia" w:ascii="方正小标宋简体" w:hAnsi="方正小标宋简体" w:eastAsia="方正小标宋简体" w:cs="方正小标宋简体"/>
          <w:color w:val="333333"/>
          <w:kern w:val="0"/>
          <w:sz w:val="44"/>
          <w:szCs w:val="44"/>
          <w:lang w:eastAsia="zh-CN"/>
        </w:rPr>
        <w:t>政府信息公开工作年度报告</w:t>
      </w:r>
      <w:r>
        <w:rPr>
          <w:rFonts w:hint="eastAsia" w:ascii="方正小标宋简体" w:hAnsi="方正小标宋简体" w:eastAsia="方正小标宋简体" w:cs="方正小标宋简体"/>
          <w:color w:val="333333"/>
          <w:kern w:val="0"/>
          <w:sz w:val="44"/>
          <w:szCs w:val="44"/>
          <w:lang w:eastAsia="zh-CN"/>
        </w:rPr>
        <w:br w:type="textWrapping"/>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根据《中华人民共和国政府信息公开条例》规定，结合钱塘区下沙街道办事处工作实际编制本报告。本年报由总体情况、主动公开政府信息情况、收到和处理政府信息公开申请情况、政府信息公开行政复议、行政诉讼情况、政府信息公开工作存在的主要问题和改进情况、其他需要报告的事项等六部分组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本年度报告中所列数据的统计期限从2021年1月1日到12月31日止。本年报的电子版可在杭州钱塘区人民政府门户网站-政府信息公开专栏-政府信息公开年报栏目下载。</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如对本年报有疑问，请与杭州市钱塘区人民政府下沙街道办事处办公室联系（电话：0571-</w:t>
      </w:r>
      <w:r>
        <w:rPr>
          <w:rFonts w:hint="eastAsia" w:ascii="仿宋" w:hAnsi="仿宋" w:eastAsia="仿宋" w:cs="仿宋"/>
          <w:color w:val="000000"/>
          <w:sz w:val="32"/>
          <w:szCs w:val="32"/>
          <w:lang w:val="en-US" w:eastAsia="zh-CN"/>
        </w:rPr>
        <w:t>86921701</w:t>
      </w:r>
      <w:r>
        <w:rPr>
          <w:rFonts w:hint="eastAsia" w:ascii="仿宋" w:hAnsi="仿宋" w:eastAsia="仿宋" w:cs="仿宋"/>
          <w:color w:val="000000"/>
          <w:sz w:val="32"/>
          <w:szCs w:val="32"/>
          <w:lang w:eastAsia="zh-CN"/>
        </w:rPr>
        <w:t>，地址：杭州市钱塘区海达南路555号下沙街道办事处，邮编：310018）。</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left="840" w:leftChars="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一、总体情况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（一）主动公开信息情况</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根据《国务院办公厅关于全面推进基层政务公开标准化规范化工作的指导意见》（国办发[2019]54号、《浙江省人民政府办公厅关于全面推进基层政务公开标准化规范化工作意见》（浙政办发[2020]16号）要求，对照信息主动公开基本目录，结合权力清单和公共服务事项清单，完成标准化目录制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（二）依申请公开方面</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2021年街道进一步优化办理规则，</w:t>
      </w:r>
      <w:r>
        <w:rPr>
          <w:rFonts w:hint="eastAsia" w:ascii="仿宋" w:hAnsi="仿宋" w:eastAsia="仿宋" w:cs="仿宋"/>
          <w:color w:val="000000"/>
          <w:sz w:val="32"/>
          <w:szCs w:val="32"/>
          <w:lang w:eastAsia="zh-CN"/>
        </w:rPr>
        <w:t>全面规范受理、审查、处理、答复、存档流程，实行依申请公开备案制度。全年共收到依申请公开</w:t>
      </w:r>
      <w:r>
        <w:rPr>
          <w:rFonts w:hint="eastAsia" w:ascii="仿宋" w:hAnsi="仿宋" w:eastAsia="仿宋" w:cs="仿宋"/>
          <w:color w:val="000000"/>
          <w:sz w:val="32"/>
          <w:szCs w:val="32"/>
          <w:lang w:val="en-US" w:eastAsia="zh-CN"/>
        </w:rPr>
        <w:t>2件，其中公民个人申请2件，受理的申请件已按规定在法定期限内予以处理。没有因我街道自身原因引起的行政复议被纠错和行政败诉案件。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（三）政府信息管理方面</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街道高度重视政府信息管理工作，</w:t>
      </w:r>
      <w:r>
        <w:rPr>
          <w:rFonts w:hint="eastAsia" w:ascii="仿宋_GB2312" w:eastAsia="仿宋_GB2312"/>
          <w:color w:val="000000"/>
          <w:sz w:val="32"/>
          <w:szCs w:val="32"/>
          <w:lang w:eastAsia="zh-CN"/>
        </w:rPr>
        <w:t>健全审核机制，把握审核环节。建立健全行政决策法定程序，确定不能公开则及时做好解释说明。建立健全预先审查和预先公开制度，准确把握公开的内容、范围、形式、程序、时限等，推动政务信息公开工作制度化规范化发展。强化督查督办，规范对违反政府信息公开规定行为的责任追究，实现督查考核的有效联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000000"/>
          <w:sz w:val="32"/>
          <w:szCs w:val="32"/>
          <w:lang w:val="en-US" w:eastAsia="zh-CN"/>
        </w:rPr>
      </w:pPr>
      <w:r>
        <w:rPr>
          <w:rFonts w:hint="eastAsia" w:ascii="楷体" w:hAnsi="楷体" w:eastAsia="楷体" w:cs="楷体"/>
          <w:b/>
          <w:bCs/>
          <w:color w:val="000000"/>
          <w:sz w:val="32"/>
          <w:szCs w:val="32"/>
          <w:lang w:val="en-US" w:eastAsia="zh-CN"/>
        </w:rPr>
        <w:t>（四）平台建设方面</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2021年，街道对钱塘区政府信息公开网中街道目录进行</w:t>
      </w:r>
      <w:r>
        <w:rPr>
          <w:rFonts w:hint="eastAsia" w:ascii="仿宋" w:hAnsi="仿宋" w:eastAsia="仿宋" w:cs="仿宋"/>
          <w:sz w:val="32"/>
          <w:szCs w:val="32"/>
        </w:rPr>
        <w:t>梳理，及时发布相关法定主动公开内容，推动实现政务过程和结果全公开。</w:t>
      </w:r>
      <w:r>
        <w:rPr>
          <w:rFonts w:hint="eastAsia" w:ascii="仿宋" w:hAnsi="仿宋" w:eastAsia="仿宋" w:cs="仿宋"/>
          <w:color w:val="000000"/>
          <w:sz w:val="32"/>
          <w:szCs w:val="32"/>
          <w:lang w:val="en-US" w:eastAsia="zh-CN"/>
        </w:rPr>
        <w:t>主动更新、公开各类信息共计83条。根据居民实际需求，不定期进行调整和完善，夯实基础、保障力度，积极拓宽公开的广度与深度。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通过街道官方微信公众号“下沙发布”及时发布和更新政务动态1229条。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（五）监督保障方面</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确保街道政府信息公开工作落到实处，今年来，街道完善政府信息公开指南、信息公开审查责任制度，规范主动公开范围、渠道、时限及依申请公开工作流程。各科室按照政府信息公开工作目录，及时主动把政府信息公开落实到日常业务工作中，使政府信息公开与党工委、办事处工作整体同步推进。严格落实政府信息公开工作责任制，把政府信息公开工作分解到具体科室及工作人员，强化“主要领导亲自抓、分管领导具体抓，责任到科室，落实到个人”的工作机制，形成上下联动、整体推进的良性工作体系。确保公开信息与数据的全面、真实、准确、及时，提升政务信息公开工作质量，保障居民群众的知情权和监督权。公民、法人或其他组织认为街道未依法履行政府信息公开义务的，可以向上一级行政机关投诉和举报。公民、法人或者其他组织认为街道在政府信息公开工作中的具体行政行为侵犯其合法权益的，可以依法申请行政复议或者提起行政诉讼。2021年我街道在区政务公开工作考核中取得了良好成绩，接受各单位和群众的社会监督、社会评议。2021年我街道政务公开社会评议和责任追究结果情况：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二、主动公开政府信息情</w:t>
      </w:r>
      <w:bookmarkStart w:id="0" w:name="_GoBack"/>
      <w:bookmarkEnd w:id="0"/>
      <w:r>
        <w:rPr>
          <w:rFonts w:hint="eastAsia" w:ascii="黑体" w:hAnsi="黑体" w:eastAsia="黑体" w:cs="黑体"/>
          <w:color w:val="000000"/>
          <w:sz w:val="32"/>
          <w:szCs w:val="32"/>
          <w:lang w:val="en-US" w:eastAsia="zh-CN"/>
        </w:rPr>
        <w:t>况</w:t>
      </w:r>
    </w:p>
    <w:tbl>
      <w:tblPr>
        <w:tblStyle w:val="4"/>
        <w:tblpPr w:leftFromText="180" w:rightFromText="180" w:vertAnchor="text" w:horzAnchor="page" w:tblpX="1154" w:tblpY="384"/>
        <w:tblOverlap w:val="never"/>
        <w:tblW w:w="9696" w:type="dxa"/>
        <w:tblInd w:w="0" w:type="dxa"/>
        <w:tblLayout w:type="autofit"/>
        <w:tblCellMar>
          <w:top w:w="0" w:type="dxa"/>
          <w:left w:w="0" w:type="dxa"/>
          <w:bottom w:w="0" w:type="dxa"/>
          <w:right w:w="0" w:type="dxa"/>
        </w:tblCellMar>
      </w:tblPr>
      <w:tblGrid>
        <w:gridCol w:w="2424"/>
        <w:gridCol w:w="2424"/>
        <w:gridCol w:w="2424"/>
        <w:gridCol w:w="2424"/>
      </w:tblGrid>
      <w:tr>
        <w:tblPrEx>
          <w:tblCellMar>
            <w:top w:w="0" w:type="dxa"/>
            <w:left w:w="0" w:type="dxa"/>
            <w:bottom w:w="0" w:type="dxa"/>
            <w:right w:w="0" w:type="dxa"/>
          </w:tblCellMar>
        </w:tblPrEx>
        <w:trPr>
          <w:trHeight w:val="384" w:hRule="atLeast"/>
        </w:trPr>
        <w:tc>
          <w:tcPr>
            <w:tcW w:w="9696"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56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56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56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7" w:hRule="exact"/>
        </w:trPr>
        <w:tc>
          <w:tcPr>
            <w:tcW w:w="9696"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8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72"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trHeight w:val="347" w:hRule="exact"/>
        </w:trPr>
        <w:tc>
          <w:tcPr>
            <w:tcW w:w="9696"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56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27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5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9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77" w:hRule="exact"/>
        </w:trPr>
        <w:tc>
          <w:tcPr>
            <w:tcW w:w="9696"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56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27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77" w:hRule="exact"/>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27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kern w:val="0"/>
          <w:sz w:val="32"/>
          <w:szCs w:val="32"/>
          <w:lang w:eastAsia="zh-CN"/>
        </w:rPr>
      </w:pPr>
      <w:r>
        <w:rPr>
          <w:rFonts w:hint="eastAsia" w:ascii="黑体" w:hAnsi="黑体" w:eastAsia="黑体" w:cs="黑体"/>
          <w:color w:val="030303"/>
          <w:sz w:val="32"/>
          <w:szCs w:val="32"/>
        </w:rPr>
        <w:t>三、收到和处理政府信息公开申请情况</w:t>
      </w:r>
    </w:p>
    <w:tbl>
      <w:tblPr>
        <w:tblStyle w:val="4"/>
        <w:tblW w:w="9748" w:type="dxa"/>
        <w:jc w:val="center"/>
        <w:tblLayout w:type="autofit"/>
        <w:tblCellMar>
          <w:top w:w="0" w:type="dxa"/>
          <w:left w:w="0" w:type="dxa"/>
          <w:bottom w:w="0" w:type="dxa"/>
          <w:right w:w="0" w:type="dxa"/>
        </w:tblCellMar>
      </w:tblPr>
      <w:tblGrid>
        <w:gridCol w:w="768"/>
        <w:gridCol w:w="943"/>
        <w:gridCol w:w="3220"/>
        <w:gridCol w:w="761"/>
        <w:gridCol w:w="615"/>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240" w:lineRule="exact"/>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240" w:lineRule="exact"/>
              <w:jc w:val="center"/>
              <w:rPr>
                <w:rFonts w:hint="eastAsia" w:ascii="宋体" w:hAnsi="宋体" w:eastAsia="宋体" w:cs="宋体"/>
                <w:color w:val="000000"/>
                <w:kern w:val="0"/>
                <w:sz w:val="20"/>
                <w:szCs w:val="20"/>
                <w:lang w:eastAsia="zh-CN"/>
              </w:rPr>
            </w:pPr>
          </w:p>
        </w:tc>
        <w:tc>
          <w:tcPr>
            <w:tcW w:w="761"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自然人</w:t>
            </w:r>
          </w:p>
        </w:tc>
        <w:tc>
          <w:tcPr>
            <w:tcW w:w="3367"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总计</w:t>
            </w:r>
          </w:p>
        </w:tc>
      </w:tr>
      <w:tr>
        <w:tblPrEx>
          <w:tblCellMar>
            <w:top w:w="0" w:type="dxa"/>
            <w:left w:w="0" w:type="dxa"/>
            <w:bottom w:w="0" w:type="dxa"/>
            <w:right w:w="0" w:type="dxa"/>
          </w:tblCellMar>
        </w:tblPrEx>
        <w:trPr>
          <w:trHeight w:val="748" w:hRule="atLeast"/>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761"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2</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2</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1</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1</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4"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761"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7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7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7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7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nil"/>
              <w:bottom w:val="single" w:color="auto" w:sz="4"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761"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943"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7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3</w:t>
            </w:r>
          </w:p>
        </w:tc>
        <w:tc>
          <w:tcPr>
            <w:tcW w:w="6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7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761"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69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76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432"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612"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3</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3</w:t>
            </w:r>
          </w:p>
        </w:tc>
      </w:tr>
      <w:tr>
        <w:tblPrEx>
          <w:tblCellMar>
            <w:top w:w="0" w:type="dxa"/>
            <w:left w:w="0" w:type="dxa"/>
            <w:bottom w:w="0" w:type="dxa"/>
            <w:right w:w="0" w:type="dxa"/>
          </w:tblCellMar>
        </w:tblPrEx>
        <w:trPr>
          <w:trHeight w:val="417" w:hRule="atLeast"/>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6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1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bl>
    <w:p>
      <w:pPr>
        <w:widowControl/>
        <w:shd w:val="clear" w:color="auto" w:fill="FFFFFF"/>
        <w:jc w:val="center"/>
        <w:rPr>
          <w:rFonts w:hint="eastAsia" w:ascii="宋体" w:hAnsi="宋体" w:eastAsia="宋体" w:cs="宋体"/>
          <w:color w:val="333333"/>
          <w:kern w:val="0"/>
          <w:sz w:val="24"/>
          <w:szCs w:val="24"/>
        </w:rPr>
      </w:pPr>
    </w:p>
    <w:p>
      <w:pPr>
        <w:widowControl/>
        <w:shd w:val="clear" w:color="auto" w:fill="FFFFFF"/>
        <w:ind w:firstLine="480"/>
        <w:rPr>
          <w:rFonts w:hint="eastAsia" w:ascii="黑体" w:hAnsi="黑体" w:eastAsia="黑体" w:cs="黑体"/>
          <w:color w:val="000000"/>
          <w:kern w:val="2"/>
          <w:sz w:val="32"/>
          <w:szCs w:val="32"/>
          <w:lang w:val="zh-TW" w:eastAsia="zh-CN" w:bidi="zh-TW"/>
        </w:rPr>
      </w:pPr>
    </w:p>
    <w:p>
      <w:pPr>
        <w:widowControl/>
        <w:shd w:val="clear" w:color="auto" w:fill="FFFFFF"/>
        <w:ind w:firstLine="480"/>
        <w:rPr>
          <w:rFonts w:hint="eastAsia" w:ascii="黑体" w:hAnsi="黑体" w:eastAsia="黑体" w:cs="黑体"/>
          <w:color w:val="000000"/>
          <w:kern w:val="2"/>
          <w:sz w:val="32"/>
          <w:szCs w:val="32"/>
          <w:lang w:val="zh-TW" w:eastAsia="zh-CN" w:bidi="zh-TW"/>
        </w:rPr>
      </w:pPr>
      <w:r>
        <w:rPr>
          <w:rFonts w:hint="eastAsia" w:ascii="黑体" w:hAnsi="黑体" w:eastAsia="黑体" w:cs="黑体"/>
          <w:color w:val="000000"/>
          <w:kern w:val="2"/>
          <w:sz w:val="32"/>
          <w:szCs w:val="32"/>
          <w:lang w:val="zh-TW" w:eastAsia="zh-CN" w:bidi="zh-TW"/>
        </w:rPr>
        <w:t>四、政府信息公开行政复议、行政诉讼情况</w:t>
      </w:r>
    </w:p>
    <w:p>
      <w:pPr>
        <w:widowControl/>
        <w:shd w:val="clear" w:color="auto" w:fill="FFFFFF"/>
        <w:jc w:val="center"/>
        <w:rPr>
          <w:rFonts w:hint="eastAsia" w:ascii="宋体" w:hAnsi="宋体" w:eastAsia="宋体" w:cs="宋体"/>
          <w:color w:val="333333"/>
          <w:kern w:val="0"/>
          <w:sz w:val="24"/>
          <w:szCs w:val="24"/>
        </w:rPr>
      </w:pPr>
    </w:p>
    <w:tbl>
      <w:tblPr>
        <w:tblStyle w:val="4"/>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pStyle w:val="7"/>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ascii="仿宋_GB2312" w:eastAsia="仿宋_GB2312"/>
          <w:color w:val="000000"/>
          <w:sz w:val="32"/>
          <w:szCs w:val="32"/>
          <w:lang w:val="zh-TW"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color w:val="000000"/>
          <w:sz w:val="32"/>
          <w:szCs w:val="32"/>
          <w:lang w:val="zh-TW" w:eastAsia="zh-CN"/>
        </w:rPr>
      </w:pPr>
      <w:r>
        <w:rPr>
          <w:rFonts w:hint="eastAsia" w:ascii="黑体" w:hAnsi="黑体" w:eastAsia="黑体" w:cs="黑体"/>
          <w:color w:val="000000"/>
          <w:sz w:val="32"/>
          <w:szCs w:val="32"/>
          <w:lang w:val="zh-TW" w:eastAsia="zh-CN"/>
        </w:rPr>
        <w:t>五、存在的主要问题及改进情况</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ascii="仿宋_GB2312" w:hAnsi="仿宋_GB2312" w:eastAsia="仿宋_GB2312" w:cs="仿宋_GB2312"/>
          <w:i w:val="0"/>
          <w:iCs w:val="0"/>
          <w:caps w:val="0"/>
          <w:color w:val="012E22"/>
          <w:spacing w:val="0"/>
          <w:sz w:val="32"/>
          <w:szCs w:val="32"/>
          <w:shd w:val="clear" w:fill="FFFFFF"/>
        </w:rPr>
      </w:pPr>
      <w:r>
        <w:rPr>
          <w:rFonts w:hint="eastAsia" w:ascii="仿宋_GB2312" w:hAnsi="仿宋_GB2312" w:eastAsia="仿宋_GB2312" w:cs="仿宋_GB2312"/>
          <w:i w:val="0"/>
          <w:iCs w:val="0"/>
          <w:caps w:val="0"/>
          <w:color w:val="012E22"/>
          <w:spacing w:val="0"/>
          <w:sz w:val="32"/>
          <w:szCs w:val="32"/>
          <w:shd w:val="clear" w:fill="FFFFFF"/>
        </w:rPr>
        <w:t>202</w:t>
      </w:r>
      <w:r>
        <w:rPr>
          <w:rFonts w:hint="eastAsia" w:ascii="仿宋_GB2312" w:hAnsi="仿宋_GB2312" w:eastAsia="仿宋_GB2312" w:cs="仿宋_GB2312"/>
          <w:i w:val="0"/>
          <w:iCs w:val="0"/>
          <w:caps w:val="0"/>
          <w:color w:val="012E22"/>
          <w:spacing w:val="0"/>
          <w:sz w:val="32"/>
          <w:szCs w:val="32"/>
          <w:shd w:val="clear" w:fill="FFFFFF"/>
          <w:lang w:val="en-US" w:eastAsia="zh-CN"/>
        </w:rPr>
        <w:t>1</w:t>
      </w:r>
      <w:r>
        <w:rPr>
          <w:rFonts w:hint="eastAsia" w:ascii="仿宋_GB2312" w:hAnsi="仿宋_GB2312" w:eastAsia="仿宋_GB2312" w:cs="仿宋_GB2312"/>
          <w:i w:val="0"/>
          <w:iCs w:val="0"/>
          <w:caps w:val="0"/>
          <w:color w:val="012E22"/>
          <w:spacing w:val="0"/>
          <w:sz w:val="32"/>
          <w:szCs w:val="32"/>
          <w:shd w:val="clear" w:fill="FFFFFF"/>
        </w:rPr>
        <w:t>年</w:t>
      </w:r>
      <w:r>
        <w:rPr>
          <w:rFonts w:hint="eastAsia" w:ascii="仿宋_GB2312" w:hAnsi="仿宋_GB2312" w:eastAsia="仿宋_GB2312" w:cs="仿宋_GB2312"/>
          <w:i w:val="0"/>
          <w:iCs w:val="0"/>
          <w:caps w:val="0"/>
          <w:color w:val="012E22"/>
          <w:spacing w:val="0"/>
          <w:sz w:val="32"/>
          <w:szCs w:val="32"/>
          <w:shd w:val="clear" w:fill="FFFFFF"/>
          <w:lang w:eastAsia="zh-CN"/>
        </w:rPr>
        <w:t>，街道</w:t>
      </w:r>
      <w:r>
        <w:rPr>
          <w:rFonts w:hint="eastAsia" w:ascii="仿宋_GB2312" w:hAnsi="仿宋_GB2312" w:eastAsia="仿宋_GB2312" w:cs="仿宋_GB2312"/>
          <w:i w:val="0"/>
          <w:iCs w:val="0"/>
          <w:caps w:val="0"/>
          <w:color w:val="012E22"/>
          <w:spacing w:val="0"/>
          <w:sz w:val="32"/>
          <w:szCs w:val="32"/>
          <w:shd w:val="clear" w:fill="FFFFFF"/>
        </w:rPr>
        <w:t>政府信息公开工作取得了一定成效，但还存在一些问题，主要表现为：</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1.政务信息公开途径单一。目前街道以</w:t>
      </w:r>
      <w:r>
        <w:rPr>
          <w:rFonts w:hint="eastAsia" w:ascii="仿宋_GB2312" w:eastAsia="仿宋_GB2312"/>
          <w:color w:val="000000"/>
          <w:sz w:val="32"/>
          <w:szCs w:val="32"/>
          <w:lang w:eastAsia="zh-CN"/>
        </w:rPr>
        <w:t>门户网站主动发布为主，还未开发使用更多其他公开途径；</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2.有的公开内容不规范、不够全面、重点不突出；</w:t>
      </w:r>
    </w:p>
    <w:p>
      <w:pPr>
        <w:pStyle w:val="7"/>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ascii="仿宋_GB2312" w:hAnsi="仿宋_GB2312" w:eastAsia="仿宋_GB2312" w:cs="仿宋_GB2312"/>
          <w:i w:val="0"/>
          <w:iCs w:val="0"/>
          <w:caps w:val="0"/>
          <w:color w:val="012E22"/>
          <w:spacing w:val="0"/>
          <w:sz w:val="32"/>
          <w:szCs w:val="32"/>
          <w:shd w:val="clear" w:fill="FFFFFF"/>
          <w:lang w:eastAsia="zh-CN"/>
        </w:rPr>
      </w:pPr>
      <w:r>
        <w:rPr>
          <w:rFonts w:hint="eastAsia" w:ascii="仿宋_GB2312" w:eastAsia="仿宋_GB2312"/>
          <w:color w:val="000000"/>
          <w:sz w:val="32"/>
          <w:szCs w:val="32"/>
          <w:lang w:val="en-US" w:eastAsia="zh-CN"/>
        </w:rPr>
        <w:t>3.</w:t>
      </w:r>
      <w:r>
        <w:rPr>
          <w:rFonts w:hint="eastAsia" w:ascii="仿宋_GB2312" w:hAnsi="仿宋_GB2312" w:eastAsia="仿宋_GB2312" w:cs="仿宋_GB2312"/>
          <w:i w:val="0"/>
          <w:iCs w:val="0"/>
          <w:caps w:val="0"/>
          <w:color w:val="012E22"/>
          <w:spacing w:val="0"/>
          <w:sz w:val="32"/>
          <w:szCs w:val="32"/>
          <w:shd w:val="clear" w:fill="FFFFFF"/>
        </w:rPr>
        <w:t>信息量和信息公开覆盖面需进一步扩大</w:t>
      </w:r>
      <w:r>
        <w:rPr>
          <w:rFonts w:hint="eastAsia" w:ascii="仿宋_GB2312" w:hAnsi="仿宋_GB2312" w:eastAsia="仿宋_GB2312" w:cs="仿宋_GB2312"/>
          <w:i w:val="0"/>
          <w:iCs w:val="0"/>
          <w:caps w:val="0"/>
          <w:color w:val="012E22"/>
          <w:spacing w:val="0"/>
          <w:sz w:val="32"/>
          <w:szCs w:val="32"/>
          <w:shd w:val="clear" w:fill="FFFFFF"/>
          <w:lang w:eastAsia="zh-CN"/>
        </w:rPr>
        <w:t>；</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hAnsi="仿宋_GB2312" w:eastAsia="仿宋_GB2312" w:cs="仿宋_GB2312"/>
          <w:i w:val="0"/>
          <w:iCs w:val="0"/>
          <w:caps w:val="0"/>
          <w:color w:val="012E22"/>
          <w:spacing w:val="0"/>
          <w:sz w:val="32"/>
          <w:szCs w:val="32"/>
          <w:shd w:val="clear" w:fill="FFFFFF"/>
          <w:lang w:val="en-US" w:eastAsia="zh-CN"/>
        </w:rPr>
        <w:t>4.</w:t>
      </w:r>
      <w:r>
        <w:rPr>
          <w:rFonts w:hint="eastAsia" w:ascii="仿宋_GB2312" w:hAnsi="仿宋_GB2312" w:eastAsia="仿宋_GB2312" w:cs="仿宋_GB2312"/>
          <w:i w:val="0"/>
          <w:iCs w:val="0"/>
          <w:caps w:val="0"/>
          <w:color w:val="012E22"/>
          <w:spacing w:val="0"/>
          <w:sz w:val="32"/>
          <w:szCs w:val="32"/>
          <w:shd w:val="clear" w:fill="FFFFFF"/>
        </w:rPr>
        <w:t>信息公开时效性需进一步提高。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2022年下沙街道政府信息公开工作将以保障人民群众知情权为目标，坚持把公开透明作为工作导向，加强主动公开工作，规范政府信息公开程序，确保信息发布程序标准化、规范化，信息发布内容安全可控。</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eastAsia="仿宋_GB2312"/>
          <w:color w:val="000000"/>
          <w:sz w:val="32"/>
          <w:szCs w:val="32"/>
          <w:lang w:val="en-US" w:eastAsia="zh-CN"/>
        </w:rPr>
      </w:pPr>
      <w:r>
        <w:rPr>
          <w:rFonts w:hint="eastAsia" w:ascii="楷体" w:hAnsi="楷体" w:eastAsia="楷体" w:cs="楷体"/>
          <w:b/>
          <w:bCs/>
          <w:color w:val="000000"/>
          <w:sz w:val="32"/>
          <w:szCs w:val="32"/>
          <w:lang w:val="en-US" w:eastAsia="zh-CN"/>
        </w:rPr>
        <w:t>（一）完善政务信息公开的范围、审核工作。</w:t>
      </w:r>
      <w:r>
        <w:rPr>
          <w:rFonts w:hint="eastAsia" w:ascii="仿宋_GB2312" w:eastAsia="仿宋_GB2312"/>
          <w:color w:val="000000"/>
          <w:sz w:val="32"/>
          <w:szCs w:val="32"/>
          <w:lang w:val="en-US" w:eastAsia="zh-CN"/>
        </w:rPr>
        <w:t>做到政府信息“应公开尽公开”；对事前应公开信息及时对接，尽早公开公告；做好信息公开前保密审查工作，遵循“先审查、后公开，谁审查、谁负责，谁公开、谁负责”的原则，严格执行信息审核制度。</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eastAsia="仿宋_GB2312"/>
          <w:color w:val="000000"/>
          <w:sz w:val="32"/>
          <w:szCs w:val="32"/>
          <w:lang w:val="en-US" w:eastAsia="zh-CN"/>
        </w:rPr>
      </w:pPr>
      <w:r>
        <w:rPr>
          <w:rFonts w:hint="eastAsia" w:ascii="楷体" w:hAnsi="楷体" w:eastAsia="楷体" w:cs="楷体"/>
          <w:b/>
          <w:bCs/>
          <w:color w:val="000000"/>
          <w:sz w:val="32"/>
          <w:szCs w:val="32"/>
          <w:lang w:val="en-US" w:eastAsia="zh-CN"/>
        </w:rPr>
        <w:t>（二）完善政务信息公开目录编制。</w:t>
      </w:r>
      <w:r>
        <w:rPr>
          <w:rFonts w:hint="eastAsia" w:ascii="仿宋_GB2312" w:eastAsia="仿宋_GB2312"/>
          <w:color w:val="000000"/>
          <w:sz w:val="32"/>
          <w:szCs w:val="32"/>
          <w:lang w:val="en-US" w:eastAsia="zh-CN"/>
        </w:rPr>
        <w:t xml:space="preserve">明确各领域“五公开”的主体、内容、时限、方式等，进一步梳理钱塘区政务信息公开内容，制定街道本级主动公开基本目录。 </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eastAsia="仿宋_GB2312"/>
          <w:color w:val="000000"/>
          <w:sz w:val="32"/>
          <w:szCs w:val="32"/>
          <w:lang w:val="en-US" w:eastAsia="zh-CN"/>
        </w:rPr>
      </w:pPr>
      <w:r>
        <w:rPr>
          <w:rFonts w:hint="eastAsia" w:ascii="楷体" w:hAnsi="楷体" w:eastAsia="楷体" w:cs="楷体"/>
          <w:b/>
          <w:bCs/>
          <w:color w:val="000000"/>
          <w:sz w:val="32"/>
          <w:szCs w:val="32"/>
          <w:lang w:val="en-US" w:eastAsia="zh-CN"/>
        </w:rPr>
        <w:t>（三）提升政务信息公开数字化服务。</w:t>
      </w:r>
      <w:r>
        <w:rPr>
          <w:rFonts w:hint="eastAsia" w:ascii="仿宋_GB2312" w:eastAsia="仿宋_GB2312"/>
          <w:color w:val="000000"/>
          <w:sz w:val="32"/>
          <w:szCs w:val="32"/>
          <w:lang w:val="en-US" w:eastAsia="zh-CN"/>
        </w:rPr>
        <w:t>以政府数字化转型为契机，进一步提高政务公开信息化集中化、智能化水平。运用多种媒介加大政务公开宣传力度，让广大人民群众熟悉政务公开知识，提高我街道政务公开水平。</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eastAsia="仿宋_GB2312"/>
          <w:color w:val="000000"/>
          <w:sz w:val="32"/>
          <w:szCs w:val="32"/>
          <w:lang w:val="en-US" w:eastAsia="zh-CN"/>
        </w:rPr>
      </w:pPr>
      <w:r>
        <w:rPr>
          <w:rFonts w:hint="eastAsia" w:ascii="楷体" w:hAnsi="楷体" w:eastAsia="楷体" w:cs="楷体"/>
          <w:b/>
          <w:bCs/>
          <w:color w:val="000000"/>
          <w:sz w:val="32"/>
          <w:szCs w:val="32"/>
          <w:lang w:val="en-US" w:eastAsia="zh-CN"/>
        </w:rPr>
        <w:t>(四）提高政务信息公开队伍素质。</w:t>
      </w:r>
      <w:r>
        <w:rPr>
          <w:rFonts w:hint="eastAsia" w:ascii="仿宋_GB2312" w:eastAsia="仿宋_GB2312"/>
          <w:color w:val="000000"/>
          <w:sz w:val="32"/>
          <w:szCs w:val="32"/>
          <w:lang w:val="en-US" w:eastAsia="zh-CN"/>
        </w:rPr>
        <w:t>积极参加政务信息公开业务集中培训、专题培训工作，有效提升政务信息公开队伍业务水平。</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color w:val="000000"/>
          <w:sz w:val="32"/>
          <w:szCs w:val="32"/>
          <w:lang w:val="zh-TW" w:eastAsia="zh-CN"/>
        </w:rPr>
      </w:pPr>
      <w:r>
        <w:rPr>
          <w:rFonts w:hint="eastAsia" w:ascii="黑体" w:hAnsi="黑体" w:eastAsia="黑体" w:cs="黑体"/>
          <w:color w:val="000000"/>
          <w:sz w:val="32"/>
          <w:szCs w:val="32"/>
          <w:lang w:val="zh-TW"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Times New Roman" w:hAnsi="Times New Roman" w:eastAsia="仿宋" w:cs="Times New Roman"/>
          <w:sz w:val="32"/>
          <w:szCs w:val="32"/>
          <w:lang w:eastAsia="zh-CN"/>
        </w:rPr>
        <w:t>本年度未收取信息处理费</w:t>
      </w:r>
      <w:r>
        <w:rPr>
          <w:rFonts w:hint="eastAsia" w:ascii="仿宋" w:hAnsi="仿宋" w:eastAsia="仿宋" w:cs="仿宋"/>
          <w:sz w:val="32"/>
          <w:szCs w:val="32"/>
        </w:rPr>
        <w:t>。</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eastAsia="仿宋_GB2312"/>
          <w:color w:val="000000"/>
          <w:sz w:val="32"/>
          <w:szCs w:val="32"/>
          <w:lang w:val="zh-TW"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MzA0ZjM3OTVhMDBjY2E1MDE1OTE2YTcwNTRmZTYifQ=="/>
  </w:docVars>
  <w:rsids>
    <w:rsidRoot w:val="00000000"/>
    <w:rsid w:val="05A97B5B"/>
    <w:rsid w:val="08A059D4"/>
    <w:rsid w:val="0A051F93"/>
    <w:rsid w:val="0D871DC1"/>
    <w:rsid w:val="1272218F"/>
    <w:rsid w:val="132B017C"/>
    <w:rsid w:val="18D70F9E"/>
    <w:rsid w:val="1B4A1EFB"/>
    <w:rsid w:val="1DFC1B98"/>
    <w:rsid w:val="1EE461C3"/>
    <w:rsid w:val="223236E9"/>
    <w:rsid w:val="2438280E"/>
    <w:rsid w:val="25334962"/>
    <w:rsid w:val="270D0281"/>
    <w:rsid w:val="27C2106B"/>
    <w:rsid w:val="281A6425"/>
    <w:rsid w:val="2B634913"/>
    <w:rsid w:val="2E870D51"/>
    <w:rsid w:val="30556F21"/>
    <w:rsid w:val="348E69B7"/>
    <w:rsid w:val="39E906DA"/>
    <w:rsid w:val="3C9A700F"/>
    <w:rsid w:val="3CCF28BB"/>
    <w:rsid w:val="3E79027E"/>
    <w:rsid w:val="43715C63"/>
    <w:rsid w:val="4642364B"/>
    <w:rsid w:val="47A64682"/>
    <w:rsid w:val="4D565C2E"/>
    <w:rsid w:val="5043333C"/>
    <w:rsid w:val="52734BE4"/>
    <w:rsid w:val="554F1891"/>
    <w:rsid w:val="64EE4C72"/>
    <w:rsid w:val="68C66EEE"/>
    <w:rsid w:val="6AE10DD5"/>
    <w:rsid w:val="6B2E2889"/>
    <w:rsid w:val="6C383D40"/>
    <w:rsid w:val="711139E6"/>
    <w:rsid w:val="71A81B96"/>
    <w:rsid w:val="7426410F"/>
    <w:rsid w:val="744077DC"/>
    <w:rsid w:val="77A967D7"/>
    <w:rsid w:val="7A6C2B9A"/>
    <w:rsid w:val="7AA11EF2"/>
    <w:rsid w:val="7F23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Body text|1"/>
    <w:basedOn w:val="1"/>
    <w:qFormat/>
    <w:uiPriority w:val="0"/>
    <w:pPr>
      <w:spacing w:line="437" w:lineRule="auto"/>
      <w:ind w:firstLine="400"/>
      <w:jc w:val="left"/>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2851</Words>
  <Characters>2940</Characters>
  <Lines>0</Lines>
  <Paragraphs>0</Paragraphs>
  <TotalTime>431</TotalTime>
  <ScaleCrop>false</ScaleCrop>
  <LinksUpToDate>false</LinksUpToDate>
  <CharactersWithSpaces>2941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have fun</cp:lastModifiedBy>
  <dcterms:modified xsi:type="dcterms:W3CDTF">2022-07-12T08:47:38Z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9084052E9C7440C8A4318734FE4273AE</vt:lpwstr>
  </property>
</Properties>
</file>