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0" w:after="0" w:line="560" w:lineRule="exact"/>
        <w:jc w:val="center"/>
        <w:rPr>
          <w:rFonts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关于进一步加强产业基金投资运作管理的指导意见</w:t>
      </w:r>
    </w:p>
    <w:p>
      <w:pPr>
        <w:pStyle w:val="5"/>
        <w:widowControl/>
        <w:spacing w:beforeAutospacing="0" w:afterAutospacing="0" w:line="600" w:lineRule="atLeast"/>
        <w:ind w:firstLine="420"/>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shd w:val="clear" w:color="auto" w:fill="FFFFFF"/>
          <w14:textFill>
            <w14:solidFill>
              <w14:schemeClr w14:val="tx1"/>
            </w14:solidFill>
          </w14:textFill>
        </w:rPr>
        <w:t>（征求意见稿）</w:t>
      </w:r>
    </w:p>
    <w:p>
      <w:pPr>
        <w:snapToGrid w:val="0"/>
        <w:spacing w:line="560" w:lineRule="exact"/>
        <w:ind w:firstLine="640" w:firstLineChars="200"/>
        <w:rPr>
          <w:rFonts w:ascii="仿宋_GB2312" w:hAnsi="仿宋_GB2312" w:eastAsia="仿宋_GB2312" w:cs="仿宋_GB2312"/>
          <w:color w:val="auto"/>
          <w:sz w:val="32"/>
          <w:szCs w:val="32"/>
        </w:rPr>
      </w:pP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为进一步加强</w:t>
      </w:r>
      <w:r>
        <w:rPr>
          <w:rFonts w:ascii="仿宋_GB2312" w:hAnsi="仿宋_GB2312" w:eastAsia="仿宋_GB2312" w:cs="仿宋_GB2312"/>
          <w:color w:val="auto"/>
          <w:sz w:val="32"/>
          <w:szCs w:val="32"/>
        </w:rPr>
        <w:t>钱塘区</w:t>
      </w:r>
      <w:r>
        <w:rPr>
          <w:rFonts w:hint="eastAsia" w:ascii="仿宋_GB2312" w:hAnsi="仿宋_GB2312" w:eastAsia="仿宋_GB2312" w:cs="仿宋_GB2312"/>
          <w:color w:val="auto"/>
          <w:sz w:val="32"/>
          <w:szCs w:val="32"/>
        </w:rPr>
        <w:t>产业基金的运作与管理，根据《企业国有资产监督管理暂行条例（2019年修订）》（国务院令第378号令）、《企业国有资产交易监督管理办法》（国资委、财政部令第32号）、《浙江省财政厅关于进一步加强政府产业基金投资运作管理的指导意见》（浙财金〔2021〕42号）、《浙江省财政厅关于印发浙江省产业基金管理办法的通知》（浙财建〔2021〕</w:t>
      </w:r>
      <w:r>
        <w:rPr>
          <w:rFonts w:ascii="仿宋_GB2312" w:hAnsi="仿宋_GB2312" w:eastAsia="仿宋_GB2312" w:cs="仿宋_GB2312"/>
          <w:color w:val="auto"/>
          <w:sz w:val="32"/>
          <w:szCs w:val="32"/>
        </w:rPr>
        <w:t>75</w:t>
      </w:r>
      <w:r>
        <w:rPr>
          <w:rFonts w:hint="eastAsia" w:ascii="仿宋_GB2312" w:hAnsi="仿宋_GB2312" w:eastAsia="仿宋_GB2312" w:cs="仿宋_GB2312"/>
          <w:color w:val="auto"/>
          <w:sz w:val="32"/>
          <w:szCs w:val="32"/>
        </w:rPr>
        <w:t>号）精神，</w:t>
      </w:r>
      <w:bookmarkStart w:id="0" w:name="_GoBack"/>
      <w:bookmarkEnd w:id="0"/>
      <w:r>
        <w:rPr>
          <w:rFonts w:hint="eastAsia" w:ascii="仿宋_GB2312" w:hAnsi="仿宋_GB2312" w:eastAsia="仿宋_GB2312" w:cs="仿宋_GB2312"/>
          <w:color w:val="auto"/>
          <w:sz w:val="32"/>
          <w:szCs w:val="32"/>
        </w:rPr>
        <w:t>现提出如下指导意见：</w:t>
      </w:r>
    </w:p>
    <w:p>
      <w:pPr>
        <w:spacing w:line="560" w:lineRule="exact"/>
        <w:ind w:firstLine="642"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(一）强化产业基金功能定位。</w:t>
      </w:r>
      <w:r>
        <w:rPr>
          <w:rFonts w:hint="eastAsia" w:ascii="仿宋_GB2312" w:hAnsi="仿宋_GB2312" w:eastAsia="仿宋_GB2312" w:cs="仿宋_GB2312"/>
          <w:b/>
          <w:bCs/>
          <w:color w:val="auto"/>
          <w:sz w:val="32"/>
          <w:szCs w:val="32"/>
        </w:rPr>
        <w:t>一是</w:t>
      </w:r>
      <w:r>
        <w:rPr>
          <w:rFonts w:ascii="仿宋_GB2312" w:hAnsi="仿宋_GB2312" w:eastAsia="仿宋_GB2312" w:cs="仿宋_GB2312"/>
          <w:color w:val="auto"/>
          <w:sz w:val="32"/>
          <w:szCs w:val="32"/>
        </w:rPr>
        <w:t>钱塘区</w:t>
      </w:r>
      <w:r>
        <w:rPr>
          <w:rFonts w:hint="eastAsia" w:ascii="仿宋_GB2312" w:hAnsi="仿宋_GB2312" w:eastAsia="仿宋_GB2312" w:cs="仿宋_GB2312"/>
          <w:color w:val="auto"/>
          <w:sz w:val="32"/>
          <w:szCs w:val="32"/>
        </w:rPr>
        <w:t>产业基金（以下简称“</w:t>
      </w:r>
      <w:r>
        <w:rPr>
          <w:rFonts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rPr>
        <w:t>基金”）是由杭州钱塘新区产业发展集团有限公司（以下简称“</w:t>
      </w:r>
      <w:r>
        <w:rPr>
          <w:rFonts w:ascii="仿宋_GB2312" w:hAnsi="仿宋_GB2312" w:eastAsia="仿宋_GB2312" w:cs="仿宋_GB2312"/>
          <w:color w:val="auto"/>
          <w:sz w:val="32"/>
          <w:szCs w:val="32"/>
        </w:rPr>
        <w:t>产业</w:t>
      </w:r>
      <w:r>
        <w:rPr>
          <w:rFonts w:hint="eastAsia" w:ascii="仿宋_GB2312" w:hAnsi="仿宋_GB2312" w:eastAsia="仿宋_GB2312" w:cs="仿宋_GB2312"/>
          <w:color w:val="auto"/>
          <w:sz w:val="32"/>
          <w:szCs w:val="32"/>
        </w:rPr>
        <w:t>集团”）主导或参与设立，兼顾政策性与效益性，采用市场化方式运作的投资基金，其设立宗旨是落实区委区政府重大战略部署，通过政府引导与市场化运作的有效结合，实现基金的放大、带动作用，促进国内外优质资本、项目、技术、人才向我区聚集，</w:t>
      </w:r>
      <w:r>
        <w:rPr>
          <w:rFonts w:ascii="仿宋_GB2312" w:hAnsi="仿宋_GB2312" w:eastAsia="仿宋_GB2312" w:cs="仿宋_GB2312"/>
          <w:color w:val="auto"/>
          <w:sz w:val="32"/>
          <w:szCs w:val="32"/>
        </w:rPr>
        <w:t>聚力项目招引和产业培育，</w:t>
      </w:r>
      <w:r>
        <w:rPr>
          <w:rFonts w:hint="eastAsia" w:ascii="仿宋_GB2312" w:hAnsi="仿宋_GB2312" w:eastAsia="仿宋_GB2312" w:cs="仿宋_GB2312"/>
          <w:color w:val="auto"/>
          <w:sz w:val="32"/>
          <w:szCs w:val="32"/>
        </w:rPr>
        <w:t>为经济稳进提质增强动力。</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产业基金按照“政府引导、市场运作、分类管理、科学决策、风险可控、滚动发展”的原则进行运作管理，聚焦半导体、生命健康、智能汽车及智能装备、航空航天和新材料等先进制造业，研发检测、电子商务、科技金融、软件信息、文化旅游等现代服务业以及未来产业发展。</w:t>
      </w:r>
    </w:p>
    <w:p>
      <w:pPr>
        <w:numPr>
          <w:ilvl w:val="255"/>
          <w:numId w:val="0"/>
        </w:numPr>
        <w:spacing w:line="560" w:lineRule="exact"/>
        <w:ind w:firstLine="642" w:firstLineChars="200"/>
        <w:rPr>
          <w:rFonts w:ascii="仿宋_GB2312" w:hAnsi="仿宋_GB2312" w:cs="仿宋_GB2312"/>
          <w:color w:val="auto"/>
          <w:szCs w:val="32"/>
        </w:rPr>
      </w:pPr>
      <w:r>
        <w:rPr>
          <w:rFonts w:hint="eastAsia" w:ascii="楷体_GB2312" w:hAnsi="楷体_GB2312" w:eastAsia="楷体_GB2312" w:cs="楷体_GB2312"/>
          <w:b/>
          <w:bCs/>
          <w:color w:val="auto"/>
          <w:sz w:val="32"/>
          <w:szCs w:val="32"/>
        </w:rPr>
        <w:t>（二）分类整合现有产业基金。</w:t>
      </w:r>
      <w:r>
        <w:rPr>
          <w:rFonts w:hint="eastAsia" w:ascii="仿宋_GB2312" w:hAnsi="仿宋_GB2312" w:eastAsia="仿宋_GB2312" w:cs="仿宋_GB2312"/>
          <w:color w:val="auto"/>
          <w:sz w:val="32"/>
          <w:szCs w:val="32"/>
        </w:rPr>
        <w:t>由产业集团合并组建产业基金，按政策类基金和效益类基金分类运作。产业基金的资金来源包括区级财政安排的资金和区属国企的自筹资金，其中以区属国企自筹资金出资为主。通过财政资金的杠杆作用和国企资金的撬动作用，联动上级政府产业基金，共同引导金融资本、产业资本进入战略性新兴产业，更好发挥产业基金推动重大项目落地的引导作用。</w:t>
      </w:r>
    </w:p>
    <w:p>
      <w:pPr>
        <w:spacing w:line="560" w:lineRule="exact"/>
        <w:ind w:firstLine="642"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1.政策类基金</w:t>
      </w:r>
      <w:r>
        <w:rPr>
          <w:rFonts w:hint="eastAsia" w:ascii="仿宋_GB2312" w:hAnsi="仿宋_GB2312" w:eastAsia="仿宋_GB2312" w:cs="仿宋_GB2312"/>
          <w:color w:val="auto"/>
          <w:sz w:val="32"/>
          <w:szCs w:val="32"/>
        </w:rPr>
        <w:t>是指围绕我区产业战略部署，通过政府引导与市场化运作的有效结合，择优投向区内科技含量高、发展潜力大的非上市企业股权项目，且具有</w:t>
      </w:r>
      <w:r>
        <w:rPr>
          <w:rFonts w:hint="eastAsia" w:ascii="Calibri" w:hAnsi="Calibri" w:eastAsia="仿宋_GB2312" w:cs="Calibri"/>
          <w:color w:val="auto"/>
          <w:sz w:val="32"/>
          <w:szCs w:val="32"/>
        </w:rPr>
        <w:t>与产业政策联动进行</w:t>
      </w:r>
      <w:r>
        <w:rPr>
          <w:rFonts w:hint="eastAsia" w:ascii="仿宋_GB2312" w:hAnsi="仿宋_GB2312" w:eastAsia="仿宋_GB2312" w:cs="仿宋_GB2312"/>
          <w:color w:val="auto"/>
          <w:sz w:val="32"/>
          <w:szCs w:val="32"/>
        </w:rPr>
        <w:t>政策性让利功能的基金。政策类基金通过设立直投基金和定向基金等方式进行投资。</w:t>
      </w:r>
    </w:p>
    <w:p>
      <w:pPr>
        <w:pStyle w:val="3"/>
        <w:spacing w:after="0" w:line="560" w:lineRule="exact"/>
        <w:ind w:firstLine="642" w:firstLineChars="200"/>
        <w:rPr>
          <w:rFonts w:ascii="仿宋_GB2312" w:hAnsi="仿宋_GB2312" w:cs="仿宋_GB2312"/>
          <w:color w:val="auto"/>
          <w:szCs w:val="32"/>
        </w:rPr>
      </w:pPr>
      <w:r>
        <w:rPr>
          <w:rFonts w:hint="eastAsia" w:ascii="仿宋_GB2312" w:hAnsi="仿宋_GB2312" w:cs="仿宋_GB2312"/>
          <w:b/>
          <w:bCs/>
          <w:color w:val="auto"/>
          <w:szCs w:val="32"/>
        </w:rPr>
        <w:t>2.效益类基金</w:t>
      </w:r>
      <w:r>
        <w:rPr>
          <w:rFonts w:hint="eastAsia" w:ascii="仿宋_GB2312" w:hAnsi="仿宋_GB2312" w:cs="仿宋_GB2312"/>
          <w:color w:val="auto"/>
          <w:szCs w:val="32"/>
        </w:rPr>
        <w:t>是指围绕国有资本保值增值，以同股同权投资方式市场化运作，择优投向区内外发展前景好、盈利能力强的非上市企业股权项目的基金。</w:t>
      </w:r>
      <w:r>
        <w:rPr>
          <w:rFonts w:ascii="仿宋_GB2312" w:hAnsi="仿宋_GB2312" w:cs="仿宋_GB2312"/>
          <w:color w:val="auto"/>
          <w:szCs w:val="32"/>
        </w:rPr>
        <w:t>效益类基金通过设立直投基金、社会化合作基金（FOF）等方式进行投资</w:t>
      </w:r>
      <w:r>
        <w:rPr>
          <w:rFonts w:hint="eastAsia" w:ascii="仿宋_GB2312" w:hAnsi="仿宋_GB2312" w:cs="仿宋_GB2312"/>
          <w:color w:val="auto"/>
          <w:szCs w:val="32"/>
        </w:rPr>
        <w:t>。国有独资的</w:t>
      </w:r>
      <w:r>
        <w:rPr>
          <w:rFonts w:ascii="仿宋_GB2312" w:hAnsi="仿宋_GB2312" w:cs="仿宋_GB2312"/>
          <w:color w:val="auto"/>
          <w:szCs w:val="32"/>
        </w:rPr>
        <w:t>效益类基金投资区外比例不超过</w:t>
      </w:r>
      <w:r>
        <w:rPr>
          <w:rFonts w:hint="eastAsia" w:ascii="仿宋_GB2312" w:hAnsi="仿宋_GB2312" w:cs="仿宋_GB2312"/>
          <w:color w:val="auto"/>
          <w:szCs w:val="32"/>
        </w:rPr>
        <w:t>该基金规模的1</w:t>
      </w:r>
      <w:r>
        <w:rPr>
          <w:rFonts w:ascii="仿宋_GB2312" w:hAnsi="仿宋_GB2312" w:cs="仿宋_GB2312"/>
          <w:color w:val="auto"/>
          <w:szCs w:val="32"/>
        </w:rPr>
        <w:t>0%</w:t>
      </w:r>
      <w:r>
        <w:rPr>
          <w:rFonts w:hint="eastAsia" w:ascii="仿宋_GB2312" w:hAnsi="仿宋_GB2312" w:cs="仿宋_GB2312"/>
          <w:color w:val="auto"/>
          <w:szCs w:val="32"/>
        </w:rPr>
        <w:t>。</w:t>
      </w:r>
    </w:p>
    <w:p>
      <w:pPr>
        <w:pStyle w:val="3"/>
        <w:spacing w:after="0" w:line="560" w:lineRule="exact"/>
        <w:ind w:firstLine="640" w:firstLineChars="200"/>
        <w:jc w:val="both"/>
        <w:rPr>
          <w:rFonts w:ascii="仿宋_GB2312" w:hAnsi="仿宋_GB2312" w:cs="仿宋_GB2312"/>
          <w:color w:val="auto"/>
          <w:szCs w:val="32"/>
          <w:highlight w:val="none"/>
        </w:rPr>
      </w:pPr>
      <w:r>
        <w:rPr>
          <w:rFonts w:hint="eastAsia" w:ascii="仿宋_GB2312" w:hAnsi="仿宋_GB2312" w:cs="仿宋_GB2312"/>
          <w:color w:val="auto"/>
          <w:szCs w:val="32"/>
          <w:highlight w:val="none"/>
        </w:rPr>
        <w:t>直投基金</w:t>
      </w:r>
      <w:r>
        <w:rPr>
          <w:rFonts w:hint="eastAsia" w:ascii="仿宋_GB2312" w:hAnsi="仿宋_GB2312" w:cs="仿宋_GB2312"/>
          <w:color w:val="auto"/>
          <w:szCs w:val="32"/>
          <w:highlight w:val="none"/>
          <w:lang w:eastAsia="zh-CN"/>
        </w:rPr>
        <w:t>需新设主体的，</w:t>
      </w:r>
      <w:r>
        <w:rPr>
          <w:rFonts w:hint="eastAsia" w:ascii="Calibri" w:hAnsi="Calibri" w:cs="Calibri"/>
          <w:color w:val="auto"/>
          <w:szCs w:val="32"/>
          <w:highlight w:val="none"/>
        </w:rPr>
        <w:t>由产业集团根据自身经营情况有序安排实施，并按照国资管理规定权限审批实施。</w:t>
      </w:r>
    </w:p>
    <w:p>
      <w:pPr>
        <w:pStyle w:val="3"/>
        <w:spacing w:after="0" w:line="560" w:lineRule="exact"/>
        <w:ind w:firstLine="642" w:firstLineChars="200"/>
        <w:jc w:val="both"/>
        <w:rPr>
          <w:rFonts w:ascii="仿宋_GB2312" w:hAnsi="仿宋_GB2312" w:cs="仿宋_GB2312"/>
          <w:color w:val="auto"/>
          <w:szCs w:val="32"/>
        </w:rPr>
      </w:pPr>
      <w:r>
        <w:rPr>
          <w:rFonts w:hint="eastAsia" w:ascii="楷体_GB2312" w:hAnsi="楷体_GB2312" w:eastAsia="楷体_GB2312" w:cs="楷体_GB2312"/>
          <w:b/>
          <w:bCs/>
          <w:color w:val="auto"/>
          <w:szCs w:val="32"/>
        </w:rPr>
        <w:t>（三）完善分类分级决策程序。</w:t>
      </w:r>
      <w:r>
        <w:rPr>
          <w:rFonts w:ascii="仿宋_GB2312" w:hAnsi="仿宋_GB2312" w:cs="仿宋_GB2312"/>
          <w:color w:val="auto"/>
          <w:szCs w:val="32"/>
        </w:rPr>
        <w:t>建立权责利对等的决策机制，</w:t>
      </w:r>
      <w:r>
        <w:rPr>
          <w:rFonts w:hint="eastAsia" w:ascii="仿宋_GB2312" w:hAnsi="仿宋_GB2312" w:cs="仿宋_GB2312"/>
          <w:color w:val="auto"/>
          <w:szCs w:val="32"/>
        </w:rPr>
        <w:t>政策类基金主要由平台或部门负责决策，赋予平台或部门更多的参与决策权，增强基金在项目招引和产业培育的</w:t>
      </w:r>
      <w:r>
        <w:rPr>
          <w:rFonts w:hint="eastAsia" w:ascii="Calibri" w:hAnsi="Calibri" w:cs="Calibri"/>
          <w:color w:val="auto"/>
          <w:szCs w:val="32"/>
        </w:rPr>
        <w:t>辅助</w:t>
      </w:r>
      <w:r>
        <w:rPr>
          <w:rFonts w:hint="eastAsia" w:ascii="仿宋_GB2312" w:hAnsi="仿宋_GB2312" w:cs="仿宋_GB2312"/>
          <w:color w:val="auto"/>
          <w:szCs w:val="32"/>
        </w:rPr>
        <w:t>功能；效益类基金主要按照</w:t>
      </w:r>
      <w:r>
        <w:rPr>
          <w:rFonts w:hint="eastAsia" w:ascii="仿宋_GB2312" w:hAnsi="仿宋_GB2312" w:cs="仿宋_GB2312"/>
          <w:color w:val="auto"/>
          <w:szCs w:val="32"/>
          <w:lang w:eastAsia="zh-CN"/>
        </w:rPr>
        <w:t>产业集团制定的产业基金管理</w:t>
      </w:r>
      <w:r>
        <w:rPr>
          <w:rFonts w:hint="eastAsia" w:ascii="仿宋_GB2312" w:hAnsi="仿宋_GB2312" w:cs="仿宋_GB2312"/>
          <w:color w:val="auto"/>
          <w:szCs w:val="32"/>
          <w:lang w:val="en-US" w:eastAsia="zh-CN"/>
        </w:rPr>
        <w:t>办法</w:t>
      </w:r>
      <w:r>
        <w:rPr>
          <w:rFonts w:hint="eastAsia" w:ascii="仿宋_GB2312" w:hAnsi="仿宋_GB2312" w:cs="仿宋_GB2312"/>
          <w:color w:val="auto"/>
          <w:szCs w:val="32"/>
        </w:rPr>
        <w:t>由产业集团负责决策，赋予国企更多的自主决策权，不断提升国企市场化决策能力。</w:t>
      </w:r>
    </w:p>
    <w:p>
      <w:pPr>
        <w:pStyle w:val="5"/>
        <w:widowControl/>
        <w:snapToGrid w:val="0"/>
        <w:spacing w:line="560" w:lineRule="exact"/>
        <w:ind w:firstLine="642" w:firstLineChars="200"/>
        <w:rPr>
          <w:rFonts w:hint="eastAsia"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.政策类基金</w:t>
      </w:r>
      <w:r>
        <w:rPr>
          <w:rFonts w:hint="eastAsia" w:ascii="仿宋_GB2312" w:hAnsi="仿宋_GB2312" w:eastAsia="仿宋_GB2312" w:cs="仿宋_GB2312"/>
          <w:color w:val="auto"/>
          <w:sz w:val="32"/>
          <w:szCs w:val="32"/>
        </w:rPr>
        <w:t>由产业平台负责投资决策。</w:t>
      </w:r>
      <w:r>
        <w:rPr>
          <w:rFonts w:hint="eastAsia" w:ascii="Calibri" w:hAnsi="Calibri" w:eastAsia="仿宋_GB2312" w:cs="Calibri"/>
          <w:color w:val="auto"/>
          <w:sz w:val="32"/>
          <w:szCs w:val="32"/>
        </w:rPr>
        <w:t>直投</w:t>
      </w:r>
      <w:r>
        <w:rPr>
          <w:rFonts w:hint="eastAsia" w:ascii="仿宋_GB2312" w:hAnsi="仿宋_GB2312" w:eastAsia="仿宋_GB2312" w:cs="仿宋_GB2312"/>
          <w:color w:val="auto"/>
          <w:sz w:val="32"/>
          <w:szCs w:val="32"/>
        </w:rPr>
        <w:t>项目投资的具体决策流程：（1）产业平台组织专家评审，召开专题会议对项目进行立项，立项决策结果需经分管区领导审定。（2）委托专业机构尽调及股权价值评估。（</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）产业平台组织召开投决会对项目进行投资决策，明确项目投资方案和协议主要条款，投资决策结果按“三重一大”</w:t>
      </w:r>
      <w:r>
        <w:rPr>
          <w:rFonts w:ascii="仿宋_GB2312" w:hAnsi="仿宋_GB2312" w:eastAsia="仿宋_GB2312" w:cs="仿宋_GB2312"/>
          <w:color w:val="auto"/>
          <w:sz w:val="32"/>
          <w:szCs w:val="32"/>
        </w:rPr>
        <w:t>决策流程</w:t>
      </w:r>
      <w:r>
        <w:rPr>
          <w:rFonts w:hint="eastAsia" w:ascii="仿宋_GB2312" w:hAnsi="仿宋_GB2312" w:eastAsia="仿宋_GB2312" w:cs="仿宋_GB2312"/>
          <w:color w:val="auto"/>
          <w:sz w:val="32"/>
          <w:szCs w:val="32"/>
        </w:rPr>
        <w:t>提交分级决策</w:t>
      </w:r>
      <w:r>
        <w:rPr>
          <w:rFonts w:ascii="仿宋_GB2312" w:hAnsi="仿宋_GB2312" w:eastAsia="仿宋_GB2312" w:cs="仿宋_GB2312"/>
          <w:color w:val="auto"/>
          <w:sz w:val="32"/>
          <w:szCs w:val="32"/>
        </w:rPr>
        <w:t>。投资金额3000万元（含）以下的，由产业平台</w:t>
      </w:r>
      <w:r>
        <w:rPr>
          <w:rFonts w:hint="eastAsia" w:ascii="仿宋_GB2312" w:hAnsi="仿宋_GB2312" w:eastAsia="仿宋_GB2312" w:cs="仿宋_GB2312"/>
          <w:color w:val="auto"/>
          <w:sz w:val="32"/>
          <w:szCs w:val="32"/>
        </w:rPr>
        <w:t>提交招商联席会议决策</w:t>
      </w:r>
      <w:r>
        <w:rPr>
          <w:rFonts w:ascii="仿宋_GB2312" w:hAnsi="仿宋_GB2312" w:eastAsia="仿宋_GB2312" w:cs="仿宋_GB2312"/>
          <w:color w:val="auto"/>
          <w:sz w:val="32"/>
          <w:szCs w:val="32"/>
        </w:rPr>
        <w:t>，产业集团</w:t>
      </w:r>
      <w:r>
        <w:rPr>
          <w:rFonts w:hint="eastAsia" w:ascii="Calibri" w:hAnsi="Calibri" w:eastAsia="仿宋_GB2312" w:cs="Calibri"/>
          <w:color w:val="auto"/>
          <w:sz w:val="32"/>
          <w:szCs w:val="32"/>
        </w:rPr>
        <w:t>或其指定的基金管理公司</w:t>
      </w:r>
      <w:r>
        <w:rPr>
          <w:rFonts w:ascii="仿宋_GB2312" w:hAnsi="仿宋_GB2312" w:eastAsia="仿宋_GB2312" w:cs="仿宋_GB2312"/>
          <w:color w:val="auto"/>
          <w:sz w:val="32"/>
          <w:szCs w:val="32"/>
        </w:rPr>
        <w:t>列席招商联席会议</w:t>
      </w:r>
      <w:r>
        <w:rPr>
          <w:rFonts w:hint="eastAsia" w:ascii="仿宋_GB2312" w:hAnsi="仿宋_GB2312" w:eastAsia="仿宋_GB2312" w:cs="仿宋_GB2312"/>
          <w:color w:val="auto"/>
          <w:sz w:val="32"/>
          <w:szCs w:val="32"/>
        </w:rPr>
        <w:t>。投资金额</w:t>
      </w:r>
      <w:r>
        <w:rPr>
          <w:rFonts w:ascii="仿宋_GB2312" w:hAnsi="仿宋_GB2312" w:eastAsia="仿宋_GB2312" w:cs="仿宋_GB2312"/>
          <w:color w:val="auto"/>
          <w:sz w:val="32"/>
          <w:szCs w:val="32"/>
        </w:rPr>
        <w:t>3000万元-</w:t>
      </w:r>
      <w:r>
        <w:rPr>
          <w:rFonts w:hint="eastAsia" w:ascii="仿宋_GB2312" w:hAnsi="仿宋_GB2312" w:eastAsia="仿宋_GB2312" w:cs="仿宋_GB2312"/>
          <w:color w:val="auto"/>
          <w:sz w:val="32"/>
          <w:szCs w:val="32"/>
        </w:rPr>
        <w:t>1亿元</w:t>
      </w:r>
      <w:r>
        <w:rPr>
          <w:rFonts w:ascii="仿宋_GB2312" w:hAnsi="仿宋_GB2312" w:eastAsia="仿宋_GB2312" w:cs="仿宋_GB2312"/>
          <w:color w:val="auto"/>
          <w:sz w:val="32"/>
          <w:szCs w:val="32"/>
        </w:rPr>
        <w:t>（含）</w:t>
      </w:r>
      <w:r>
        <w:rPr>
          <w:rFonts w:hint="eastAsia" w:ascii="仿宋_GB2312" w:hAnsi="仿宋_GB2312" w:eastAsia="仿宋_GB2312" w:cs="仿宋_GB2312"/>
          <w:color w:val="auto"/>
          <w:sz w:val="32"/>
          <w:szCs w:val="32"/>
        </w:rPr>
        <w:t>的，由产业平台</w:t>
      </w:r>
      <w:r>
        <w:rPr>
          <w:rFonts w:hint="eastAsia" w:ascii="Calibri" w:hAnsi="Calibri" w:eastAsia="仿宋_GB2312" w:cs="Calibri"/>
          <w:color w:val="auto"/>
          <w:sz w:val="32"/>
          <w:szCs w:val="32"/>
        </w:rPr>
        <w:t>经招商联席会议审议后</w:t>
      </w:r>
      <w:r>
        <w:rPr>
          <w:rFonts w:hint="eastAsia" w:ascii="仿宋_GB2312" w:hAnsi="仿宋_GB2312" w:eastAsia="仿宋_GB2312" w:cs="仿宋_GB2312"/>
          <w:color w:val="auto"/>
          <w:sz w:val="32"/>
          <w:szCs w:val="32"/>
        </w:rPr>
        <w:t>提交区政府常务会议决策；投资金额1亿元以上的，由产业平台经招商联席会议审议并经区政府常务会议研究后，提交区委常委会议决策。基金管理公司</w:t>
      </w:r>
      <w:r>
        <w:rPr>
          <w:rFonts w:hint="eastAsia" w:ascii="Calibri" w:hAnsi="Calibri" w:eastAsia="仿宋_GB2312" w:cs="Calibri"/>
          <w:color w:val="auto"/>
          <w:sz w:val="32"/>
          <w:szCs w:val="32"/>
        </w:rPr>
        <w:t>在收到上述书面决策意见后</w:t>
      </w:r>
      <w:r>
        <w:rPr>
          <w:rFonts w:hint="eastAsia" w:ascii="Calibri" w:hAnsi="Calibri" w:eastAsia="仿宋_GB2312" w:cs="Calibri"/>
          <w:color w:val="auto"/>
          <w:sz w:val="32"/>
          <w:szCs w:val="32"/>
          <w:lang w:eastAsia="zh-CN"/>
        </w:rPr>
        <w:t>，</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集团“三重一大”要求</w:t>
      </w:r>
      <w:r>
        <w:rPr>
          <w:rFonts w:hint="eastAsia" w:ascii="仿宋_GB2312" w:hAnsi="仿宋_GB2312" w:eastAsia="仿宋_GB2312" w:cs="仿宋_GB2312"/>
          <w:color w:val="auto"/>
          <w:sz w:val="32"/>
          <w:szCs w:val="32"/>
        </w:rPr>
        <w:t>履行相关程序。（4）</w:t>
      </w:r>
      <w:r>
        <w:rPr>
          <w:rFonts w:ascii="仿宋_GB2312" w:hAnsi="仿宋_GB2312" w:eastAsia="仿宋_GB2312" w:cs="仿宋_GB2312"/>
          <w:color w:val="auto"/>
          <w:sz w:val="32"/>
          <w:szCs w:val="32"/>
        </w:rPr>
        <w:t>产业平台</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，基金管理公司配合</w:t>
      </w:r>
      <w:r>
        <w:rPr>
          <w:rFonts w:hint="eastAsia" w:ascii="仿宋_GB2312" w:hAnsi="仿宋_GB2312" w:eastAsia="仿宋_GB2312" w:cs="仿宋_GB2312"/>
          <w:color w:val="auto"/>
          <w:sz w:val="32"/>
          <w:szCs w:val="32"/>
        </w:rPr>
        <w:t>做好政策类项目的投后管理</w:t>
      </w:r>
      <w:r>
        <w:rPr>
          <w:rFonts w:ascii="仿宋_GB2312" w:hAnsi="仿宋_GB2312" w:eastAsia="仿宋_GB2312" w:cs="仿宋_GB2312"/>
          <w:color w:val="auto"/>
          <w:sz w:val="32"/>
          <w:szCs w:val="32"/>
        </w:rPr>
        <w:t>。</w:t>
      </w:r>
    </w:p>
    <w:p>
      <w:pPr>
        <w:pStyle w:val="5"/>
        <w:widowControl/>
        <w:snapToGrid w:val="0"/>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定向基金投资项目由产业平台按照投资决策程序一事一议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基金管理公司</w:t>
      </w:r>
      <w:r>
        <w:rPr>
          <w:rFonts w:hint="eastAsia" w:ascii="Calibri" w:hAnsi="Calibri" w:eastAsia="仿宋_GB2312" w:cs="Calibri"/>
          <w:color w:val="auto"/>
          <w:sz w:val="32"/>
          <w:szCs w:val="32"/>
        </w:rPr>
        <w:t>在收到上述书面决策意见后</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集团“三重一大”要求</w:t>
      </w:r>
      <w:r>
        <w:rPr>
          <w:rFonts w:hint="eastAsia" w:ascii="仿宋_GB2312" w:hAnsi="仿宋_GB2312" w:eastAsia="仿宋_GB2312" w:cs="仿宋_GB2312"/>
          <w:color w:val="auto"/>
          <w:sz w:val="32"/>
          <w:szCs w:val="32"/>
        </w:rPr>
        <w:t>履行相关程序。定向</w:t>
      </w:r>
      <w:r>
        <w:rPr>
          <w:rFonts w:hint="eastAsia" w:ascii="仿宋_GB2312" w:hAnsi="仿宋_GB2312" w:eastAsia="仿宋_GB2312" w:cs="仿宋_GB2312"/>
          <w:color w:val="auto"/>
          <w:sz w:val="32"/>
          <w:szCs w:val="32"/>
          <w:lang w:eastAsia="zh-CN"/>
        </w:rPr>
        <w:t>基金</w:t>
      </w:r>
      <w:r>
        <w:rPr>
          <w:rFonts w:hint="eastAsia" w:ascii="仿宋_GB2312" w:hAnsi="仿宋_GB2312" w:eastAsia="仿宋_GB2312" w:cs="仿宋_GB2312"/>
          <w:color w:val="auto"/>
          <w:sz w:val="32"/>
          <w:szCs w:val="32"/>
        </w:rPr>
        <w:t>的基金管理人应为省市区国</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基金管理公司。</w:t>
      </w:r>
    </w:p>
    <w:p>
      <w:pPr>
        <w:pStyle w:val="3"/>
        <w:spacing w:after="0" w:line="560" w:lineRule="exact"/>
        <w:ind w:firstLine="640" w:firstLineChars="200"/>
        <w:jc w:val="both"/>
        <w:rPr>
          <w:rFonts w:ascii="仿宋_GB2312" w:hAnsi="仿宋_GB2312" w:cs="仿宋_GB2312"/>
          <w:b/>
          <w:bCs/>
          <w:color w:val="auto"/>
          <w:szCs w:val="32"/>
        </w:rPr>
      </w:pPr>
      <w:r>
        <w:rPr>
          <w:rFonts w:hint="eastAsia" w:ascii="仿宋_GB2312" w:hAnsi="仿宋_GB2312" w:eastAsia="仿宋_GB2312" w:cs="仿宋_GB2312"/>
          <w:color w:val="auto"/>
          <w:sz w:val="32"/>
          <w:szCs w:val="32"/>
        </w:rPr>
        <w:t>行业主管部门可参照产业平台作为政策类基金</w:t>
      </w:r>
      <w:r>
        <w:rPr>
          <w:rFonts w:hint="eastAsia" w:ascii="Calibri" w:hAnsi="Calibri" w:eastAsia="仿宋_GB2312" w:cs="Calibri"/>
          <w:color w:val="auto"/>
          <w:sz w:val="32"/>
          <w:szCs w:val="32"/>
        </w:rPr>
        <w:t>投资具体项目</w:t>
      </w:r>
      <w:r>
        <w:rPr>
          <w:rFonts w:hint="eastAsia" w:ascii="仿宋_GB2312" w:hAnsi="仿宋_GB2312" w:eastAsia="仿宋_GB2312" w:cs="仿宋_GB2312"/>
          <w:color w:val="auto"/>
          <w:sz w:val="32"/>
          <w:szCs w:val="32"/>
        </w:rPr>
        <w:t>的责任单位。</w:t>
      </w:r>
    </w:p>
    <w:p>
      <w:pPr>
        <w:pStyle w:val="3"/>
        <w:spacing w:after="0" w:line="560" w:lineRule="exact"/>
        <w:ind w:firstLine="642" w:firstLineChars="200"/>
        <w:jc w:val="both"/>
        <w:rPr>
          <w:rFonts w:ascii="仿宋_GB2312" w:hAnsi="仿宋_GB2312" w:cs="仿宋_GB2312"/>
          <w:color w:val="auto"/>
          <w:szCs w:val="32"/>
        </w:rPr>
      </w:pPr>
      <w:r>
        <w:rPr>
          <w:rFonts w:ascii="仿宋_GB2312" w:hAnsi="仿宋_GB2312" w:cs="仿宋_GB2312"/>
          <w:b/>
          <w:bCs/>
          <w:color w:val="auto"/>
          <w:szCs w:val="32"/>
        </w:rPr>
        <w:t>2</w:t>
      </w:r>
      <w:r>
        <w:rPr>
          <w:rFonts w:hint="eastAsia" w:ascii="仿宋_GB2312" w:hAnsi="仿宋_GB2312" w:cs="仿宋_GB2312"/>
          <w:b/>
          <w:bCs/>
          <w:color w:val="auto"/>
          <w:szCs w:val="32"/>
        </w:rPr>
        <w:t>.效益类基金</w:t>
      </w:r>
      <w:r>
        <w:rPr>
          <w:rFonts w:hint="eastAsia" w:ascii="仿宋_GB2312" w:hAnsi="仿宋_GB2312" w:cs="仿宋_GB2312"/>
          <w:color w:val="auto"/>
          <w:szCs w:val="32"/>
        </w:rPr>
        <w:t>由产业集团负责投资决策。决策程序包括但不限于基金管理公司立项、尽调、组织投决会决策</w:t>
      </w:r>
      <w:r>
        <w:rPr>
          <w:rFonts w:hint="eastAsia" w:ascii="仿宋_GB2312" w:hAnsi="仿宋_GB2312" w:cs="仿宋_GB2312"/>
          <w:color w:val="auto"/>
          <w:szCs w:val="32"/>
          <w:lang w:eastAsia="zh-CN"/>
        </w:rPr>
        <w:t>等</w:t>
      </w:r>
      <w:r>
        <w:rPr>
          <w:rFonts w:hint="eastAsia" w:ascii="仿宋_GB2312" w:hAnsi="仿宋_GB2312" w:cs="仿宋_GB2312"/>
          <w:color w:val="auto"/>
          <w:szCs w:val="32"/>
        </w:rPr>
        <w:t>。</w:t>
      </w:r>
      <w:r>
        <w:rPr>
          <w:rFonts w:ascii="仿宋_GB2312" w:hAnsi="仿宋_GB2312" w:cs="仿宋_GB2312"/>
          <w:color w:val="auto"/>
          <w:szCs w:val="32"/>
        </w:rPr>
        <w:t>产业平台</w:t>
      </w:r>
      <w:r>
        <w:rPr>
          <w:rFonts w:hint="eastAsia" w:ascii="仿宋_GB2312" w:hAnsi="仿宋_GB2312" w:cs="仿宋_GB2312"/>
          <w:color w:val="auto"/>
          <w:szCs w:val="32"/>
        </w:rPr>
        <w:t>、行业主管部门</w:t>
      </w:r>
      <w:r>
        <w:rPr>
          <w:rFonts w:ascii="仿宋_GB2312" w:hAnsi="仿宋_GB2312" w:cs="仿宋_GB2312"/>
          <w:color w:val="auto"/>
          <w:szCs w:val="32"/>
        </w:rPr>
        <w:t>可向基金管理公司书面推荐项目或基金合作方。</w:t>
      </w:r>
      <w:r>
        <w:rPr>
          <w:rFonts w:hint="eastAsia" w:ascii="仿宋_GB2312" w:hAnsi="仿宋_GB2312" w:cs="仿宋_GB2312"/>
          <w:color w:val="auto"/>
          <w:szCs w:val="32"/>
        </w:rPr>
        <w:t>单个</w:t>
      </w:r>
      <w:r>
        <w:rPr>
          <w:rFonts w:hint="eastAsia" w:ascii="Calibri" w:hAnsi="Calibri" w:cs="Calibri"/>
          <w:color w:val="auto"/>
          <w:szCs w:val="32"/>
        </w:rPr>
        <w:t>项</w:t>
      </w:r>
      <w:r>
        <w:rPr>
          <w:rFonts w:hint="eastAsia" w:ascii="仿宋_GB2312" w:hAnsi="仿宋_GB2312" w:cs="仿宋_GB2312"/>
          <w:color w:val="auto"/>
          <w:szCs w:val="32"/>
        </w:rPr>
        <w:t>目或单只社会化合作基金（F</w:t>
      </w:r>
      <w:r>
        <w:rPr>
          <w:rFonts w:ascii="仿宋_GB2312" w:hAnsi="仿宋_GB2312" w:cs="仿宋_GB2312"/>
          <w:color w:val="auto"/>
          <w:szCs w:val="32"/>
        </w:rPr>
        <w:t>OF</w:t>
      </w:r>
      <w:r>
        <w:rPr>
          <w:rFonts w:hint="eastAsia" w:ascii="仿宋_GB2312" w:hAnsi="仿宋_GB2312" w:cs="仿宋_GB2312"/>
          <w:color w:val="auto"/>
          <w:szCs w:val="32"/>
        </w:rPr>
        <w:t>）</w:t>
      </w:r>
      <w:r>
        <w:rPr>
          <w:rFonts w:ascii="仿宋_GB2312" w:hAnsi="仿宋_GB2312" w:cs="仿宋_GB2312"/>
          <w:color w:val="auto"/>
          <w:szCs w:val="32"/>
        </w:rPr>
        <w:t>投资金额5000万元（含）以下的，由产业集团按照</w:t>
      </w:r>
      <w:r>
        <w:rPr>
          <w:rFonts w:hint="eastAsia" w:ascii="Calibri" w:hAnsi="Calibri" w:cs="Calibri"/>
          <w:color w:val="auto"/>
          <w:szCs w:val="32"/>
        </w:rPr>
        <w:t>其制定的</w:t>
      </w:r>
      <w:r>
        <w:rPr>
          <w:rFonts w:hint="eastAsia" w:ascii="仿宋_GB2312" w:hAnsi="仿宋_GB2312" w:cs="仿宋_GB2312"/>
          <w:color w:val="auto"/>
          <w:szCs w:val="32"/>
        </w:rPr>
        <w:t>产业基金</w:t>
      </w:r>
      <w:r>
        <w:rPr>
          <w:rFonts w:ascii="仿宋_GB2312" w:hAnsi="仿宋_GB2312" w:cs="仿宋_GB2312"/>
          <w:color w:val="auto"/>
          <w:szCs w:val="32"/>
        </w:rPr>
        <w:t>管理</w:t>
      </w:r>
      <w:r>
        <w:rPr>
          <w:rFonts w:hint="eastAsia" w:ascii="仿宋_GB2312" w:hAnsi="仿宋_GB2312" w:cs="仿宋_GB2312"/>
          <w:color w:val="auto"/>
          <w:szCs w:val="32"/>
        </w:rPr>
        <w:t>办法自主</w:t>
      </w:r>
      <w:r>
        <w:rPr>
          <w:rFonts w:ascii="仿宋_GB2312" w:hAnsi="仿宋_GB2312" w:cs="仿宋_GB2312"/>
          <w:color w:val="auto"/>
          <w:szCs w:val="32"/>
        </w:rPr>
        <w:t>决策；投资金额5000万元-1亿元（含）的，产业集团决策后</w:t>
      </w:r>
      <w:r>
        <w:rPr>
          <w:rFonts w:hint="eastAsia" w:ascii="仿宋_GB2312" w:hAnsi="仿宋_GB2312" w:cs="仿宋_GB2312"/>
          <w:color w:val="auto"/>
          <w:szCs w:val="32"/>
        </w:rPr>
        <w:t>提交区政府常务会议</w:t>
      </w:r>
      <w:r>
        <w:rPr>
          <w:rFonts w:hint="eastAsia" w:ascii="仿宋_GB2312" w:hAnsi="仿宋_GB2312" w:cs="仿宋_GB2312"/>
          <w:color w:val="auto"/>
          <w:szCs w:val="32"/>
          <w:lang w:eastAsia="zh-CN"/>
        </w:rPr>
        <w:t>决策</w:t>
      </w:r>
      <w:r>
        <w:rPr>
          <w:rFonts w:ascii="仿宋_GB2312" w:hAnsi="仿宋_GB2312" w:cs="仿宋_GB2312"/>
          <w:color w:val="auto"/>
          <w:szCs w:val="32"/>
        </w:rPr>
        <w:t>；投资金额1亿元以上的，</w:t>
      </w:r>
      <w:r>
        <w:rPr>
          <w:rFonts w:hint="eastAsia" w:ascii="仿宋_GB2312" w:hAnsi="仿宋_GB2312" w:cs="仿宋_GB2312"/>
          <w:color w:val="auto"/>
          <w:szCs w:val="32"/>
        </w:rPr>
        <w:t>由产业集团决策并经区政府常务会议研究后，提交区委常委会议决策</w:t>
      </w:r>
      <w:r>
        <w:rPr>
          <w:rFonts w:ascii="仿宋_GB2312" w:hAnsi="仿宋_GB2312" w:cs="仿宋_GB2312"/>
          <w:color w:val="auto"/>
          <w:szCs w:val="32"/>
        </w:rPr>
        <w:t>。</w:t>
      </w:r>
      <w:r>
        <w:rPr>
          <w:rFonts w:hint="eastAsia" w:ascii="仿宋_GB2312" w:hAnsi="仿宋_GB2312" w:cs="仿宋_GB2312"/>
          <w:color w:val="auto"/>
          <w:szCs w:val="32"/>
        </w:rPr>
        <w:t>上述决策结果</w:t>
      </w:r>
      <w:r>
        <w:rPr>
          <w:rFonts w:ascii="仿宋_GB2312" w:hAnsi="仿宋_GB2312" w:cs="仿宋_GB2312"/>
          <w:color w:val="auto"/>
          <w:szCs w:val="32"/>
        </w:rPr>
        <w:t>报区国资办备案</w:t>
      </w:r>
      <w:r>
        <w:rPr>
          <w:rFonts w:hint="eastAsia" w:ascii="仿宋_GB2312" w:hAnsi="仿宋_GB2312" w:cs="仿宋_GB2312"/>
          <w:color w:val="auto"/>
          <w:szCs w:val="32"/>
        </w:rPr>
        <w:t>。</w:t>
      </w:r>
    </w:p>
    <w:p>
      <w:pPr>
        <w:pStyle w:val="3"/>
        <w:spacing w:after="0" w:line="560" w:lineRule="exact"/>
        <w:ind w:firstLine="642" w:firstLineChars="200"/>
        <w:jc w:val="both"/>
        <w:rPr>
          <w:rFonts w:ascii="仿宋_GB2312" w:hAnsi="仿宋_GB2312" w:cs="仿宋_GB2312"/>
          <w:b/>
          <w:bCs/>
          <w:color w:val="auto"/>
          <w:szCs w:val="32"/>
        </w:rPr>
      </w:pPr>
      <w:r>
        <w:rPr>
          <w:rFonts w:hint="eastAsia" w:ascii="楷体_GB2312" w:hAnsi="楷体_GB2312" w:eastAsia="楷体_GB2312" w:cs="楷体_GB2312"/>
          <w:b/>
          <w:bCs/>
          <w:color w:val="auto"/>
          <w:szCs w:val="32"/>
        </w:rPr>
        <w:t>（四）加强产业基金运作管理。</w:t>
      </w:r>
      <w:r>
        <w:rPr>
          <w:rFonts w:hint="eastAsia" w:ascii="仿宋_GB2312" w:hAnsi="仿宋_GB2312" w:cs="仿宋_GB2312"/>
          <w:color w:val="auto"/>
          <w:kern w:val="0"/>
          <w:szCs w:val="32"/>
        </w:rPr>
        <w:t>为与分类分级决策程序相适应，本意见对产业基金组织架构、投资额度、让利方式</w:t>
      </w:r>
      <w:r>
        <w:rPr>
          <w:rFonts w:ascii="仿宋_GB2312" w:hAnsi="仿宋_GB2312" w:cs="仿宋_GB2312"/>
          <w:color w:val="auto"/>
          <w:kern w:val="0"/>
          <w:szCs w:val="32"/>
        </w:rPr>
        <w:t>、激励约束机制</w:t>
      </w:r>
      <w:r>
        <w:rPr>
          <w:rFonts w:hint="eastAsia" w:ascii="仿宋_GB2312" w:hAnsi="仿宋_GB2312" w:cs="仿宋_GB2312"/>
          <w:color w:val="auto"/>
          <w:kern w:val="0"/>
          <w:szCs w:val="32"/>
        </w:rPr>
        <w:t>进行了优化。</w:t>
      </w:r>
    </w:p>
    <w:p>
      <w:pPr>
        <w:pStyle w:val="3"/>
        <w:spacing w:after="0" w:line="560" w:lineRule="exact"/>
        <w:ind w:firstLine="642" w:firstLineChars="200"/>
        <w:jc w:val="both"/>
        <w:rPr>
          <w:rFonts w:ascii="仿宋_GB2312" w:hAnsi="仿宋_GB2312" w:cs="仿宋_GB2312"/>
          <w:color w:val="auto"/>
          <w:szCs w:val="32"/>
        </w:rPr>
      </w:pPr>
      <w:r>
        <w:rPr>
          <w:rFonts w:hint="eastAsia" w:ascii="仿宋_GB2312" w:hAnsi="仿宋_GB2312" w:cs="仿宋_GB2312"/>
          <w:b/>
          <w:bCs/>
          <w:color w:val="auto"/>
          <w:kern w:val="0"/>
          <w:szCs w:val="32"/>
        </w:rPr>
        <w:t>1.优化基金组织架构。一是</w:t>
      </w:r>
      <w:r>
        <w:rPr>
          <w:rFonts w:hint="eastAsia" w:ascii="仿宋_GB2312" w:hAnsi="仿宋_GB2312" w:cs="仿宋_GB2312"/>
          <w:color w:val="auto"/>
          <w:szCs w:val="32"/>
        </w:rPr>
        <w:t>在原有产业基金管理委员会、基金法人主体、基金管理公司三层架构基础上，增加产业平台。产业平台负责政策类项目立项、投资、退出决策，</w:t>
      </w:r>
      <w:r>
        <w:rPr>
          <w:rFonts w:hint="eastAsia" w:ascii="仿宋_GB2312" w:hAnsi="仿宋_GB2312" w:eastAsia="仿宋_GB2312" w:cs="仿宋_GB2312"/>
          <w:color w:val="auto"/>
          <w:sz w:val="32"/>
          <w:szCs w:val="32"/>
        </w:rPr>
        <w:t>牵头做好政策类项目的</w:t>
      </w:r>
      <w:r>
        <w:rPr>
          <w:rFonts w:hint="eastAsia" w:ascii="仿宋_GB2312" w:hAnsi="仿宋_GB2312" w:eastAsia="仿宋_GB2312" w:cs="仿宋_GB2312"/>
          <w:color w:val="auto"/>
          <w:sz w:val="32"/>
          <w:szCs w:val="32"/>
          <w:lang w:eastAsia="zh-CN"/>
        </w:rPr>
        <w:t>投后管理</w:t>
      </w:r>
      <w:r>
        <w:rPr>
          <w:rFonts w:hint="eastAsia" w:ascii="仿宋_GB2312" w:hAnsi="仿宋_GB2312" w:cs="仿宋_GB2312"/>
          <w:color w:val="auto"/>
          <w:szCs w:val="32"/>
        </w:rPr>
        <w:t>。</w:t>
      </w:r>
      <w:r>
        <w:rPr>
          <w:rFonts w:hint="eastAsia" w:ascii="仿宋_GB2312" w:hAnsi="仿宋_GB2312" w:cs="仿宋_GB2312"/>
          <w:b/>
          <w:bCs/>
          <w:color w:val="auto"/>
          <w:szCs w:val="32"/>
        </w:rPr>
        <w:t>二是</w:t>
      </w:r>
      <w:r>
        <w:rPr>
          <w:rFonts w:hint="eastAsia" w:ascii="仿宋_GB2312" w:hAnsi="仿宋_GB2312" w:cs="仿宋_GB2312"/>
          <w:color w:val="auto"/>
          <w:szCs w:val="32"/>
        </w:rPr>
        <w:t>明确产业集团负责基金法人主体和基金管理公司的组建、管理和市场化运作基金，对下属基金法人主体和基金管理公司履行股东职责和国资监管职能。</w:t>
      </w:r>
      <w:r>
        <w:rPr>
          <w:rFonts w:hint="eastAsia" w:ascii="仿宋_GB2312" w:hAnsi="仿宋_GB2312" w:cs="仿宋_GB2312"/>
          <w:b/>
          <w:bCs/>
          <w:color w:val="auto"/>
          <w:szCs w:val="32"/>
        </w:rPr>
        <w:t>三是</w:t>
      </w:r>
      <w:r>
        <w:rPr>
          <w:rFonts w:hint="eastAsia" w:ascii="仿宋_GB2312" w:hAnsi="仿宋_GB2312" w:cs="仿宋_GB2312"/>
          <w:color w:val="auto"/>
          <w:szCs w:val="32"/>
        </w:rPr>
        <w:t>明确产业基金管理委员会职责是统筹协调推进产业基金运作，定期听取产业基金投资运作情况并提出建议及要求。基金委员会成员单位根据国家法律法规和部门三定职责各司其职、各尽其责。</w:t>
      </w:r>
    </w:p>
    <w:p>
      <w:pPr>
        <w:pStyle w:val="3"/>
        <w:spacing w:after="0" w:line="560" w:lineRule="exact"/>
        <w:ind w:firstLine="642" w:firstLineChars="200"/>
        <w:jc w:val="both"/>
        <w:rPr>
          <w:rFonts w:ascii="仿宋_GB2312" w:hAnsi="仿宋_GB2312" w:cs="仿宋_GB2312"/>
          <w:color w:val="auto"/>
          <w:szCs w:val="32"/>
        </w:rPr>
      </w:pPr>
      <w:r>
        <w:rPr>
          <w:rFonts w:hint="eastAsia" w:ascii="仿宋_GB2312" w:hAnsi="仿宋_GB2312" w:cs="仿宋_GB2312"/>
          <w:b/>
          <w:bCs/>
          <w:color w:val="auto"/>
          <w:szCs w:val="32"/>
        </w:rPr>
        <w:t>2.明确基金</w:t>
      </w:r>
      <w:r>
        <w:rPr>
          <w:rFonts w:hint="eastAsia" w:ascii="仿宋_GB2312" w:hAnsi="仿宋_GB2312" w:cs="仿宋_GB2312"/>
          <w:b/>
          <w:bCs/>
          <w:color w:val="auto"/>
          <w:kern w:val="0"/>
          <w:szCs w:val="32"/>
        </w:rPr>
        <w:t>投资额度。一是</w:t>
      </w:r>
      <w:r>
        <w:rPr>
          <w:rFonts w:hint="eastAsia" w:ascii="仿宋_GB2312" w:hAnsi="仿宋_GB2312" w:cs="仿宋_GB2312"/>
          <w:color w:val="auto"/>
          <w:kern w:val="0"/>
          <w:szCs w:val="32"/>
        </w:rPr>
        <w:t>政策类基金</w:t>
      </w:r>
      <w:r>
        <w:rPr>
          <w:rFonts w:hint="eastAsia" w:ascii="仿宋_GB2312" w:hAnsi="仿宋_GB2312" w:cs="仿宋_GB2312"/>
          <w:color w:val="auto"/>
          <w:szCs w:val="32"/>
        </w:rPr>
        <w:t>采取</w:t>
      </w:r>
      <w:r>
        <w:rPr>
          <w:rFonts w:hint="eastAsia" w:ascii="仿宋_GB2312" w:hAnsi="仿宋_GB2312" w:cs="仿宋_GB2312"/>
          <w:b/>
          <w:bCs/>
          <w:color w:val="auto"/>
          <w:szCs w:val="32"/>
        </w:rPr>
        <w:t>直投基金</w:t>
      </w:r>
      <w:r>
        <w:rPr>
          <w:rFonts w:hint="eastAsia" w:ascii="仿宋_GB2312" w:hAnsi="仿宋_GB2312" w:cs="仿宋_GB2312"/>
          <w:color w:val="auto"/>
          <w:szCs w:val="32"/>
        </w:rPr>
        <w:t>模式的，直投基金原则上投资额不超过项目本轮融资总额的3</w:t>
      </w:r>
      <w:r>
        <w:rPr>
          <w:rFonts w:ascii="仿宋_GB2312" w:hAnsi="仿宋_GB2312" w:cs="仿宋_GB2312"/>
          <w:color w:val="auto"/>
          <w:szCs w:val="32"/>
        </w:rPr>
        <w:t>0%，对单个项目累计投资额不超过5000万元且不超过基金规模的20％，占被投企业股权比例不超过20％，不为第一大股东</w:t>
      </w:r>
      <w:r>
        <w:rPr>
          <w:rFonts w:hint="eastAsia" w:ascii="仿宋_GB2312" w:hAnsi="仿宋_GB2312" w:cs="仿宋_GB2312"/>
          <w:color w:val="auto"/>
          <w:szCs w:val="32"/>
        </w:rPr>
        <w:t>，不得</w:t>
      </w:r>
      <w:r>
        <w:rPr>
          <w:rFonts w:ascii="仿宋_GB2312" w:hAnsi="仿宋_GB2312" w:cs="仿宋_GB2312"/>
          <w:color w:val="auto"/>
          <w:szCs w:val="32"/>
        </w:rPr>
        <w:t>相对控股；</w:t>
      </w:r>
      <w:r>
        <w:rPr>
          <w:rFonts w:hint="eastAsia" w:ascii="仿宋_GB2312" w:hAnsi="仿宋_GB2312" w:cs="仿宋_GB2312"/>
          <w:color w:val="auto"/>
          <w:szCs w:val="32"/>
        </w:rPr>
        <w:t>政策类基金采取</w:t>
      </w:r>
      <w:r>
        <w:rPr>
          <w:rFonts w:hint="eastAsia" w:ascii="仿宋_GB2312" w:hAnsi="仿宋_GB2312" w:cs="仿宋_GB2312"/>
          <w:b/>
          <w:bCs/>
          <w:color w:val="auto"/>
          <w:szCs w:val="32"/>
        </w:rPr>
        <w:t>定向基金</w:t>
      </w:r>
      <w:r>
        <w:rPr>
          <w:rFonts w:hint="eastAsia" w:ascii="仿宋_GB2312" w:hAnsi="仿宋_GB2312" w:cs="仿宋_GB2312"/>
          <w:color w:val="auto"/>
          <w:szCs w:val="32"/>
        </w:rPr>
        <w:t>模式的，在定向基金中的出资额最高不超过</w:t>
      </w:r>
      <w:r>
        <w:rPr>
          <w:rFonts w:ascii="仿宋_GB2312" w:hAnsi="仿宋_GB2312" w:cs="仿宋_GB2312"/>
          <w:color w:val="auto"/>
          <w:szCs w:val="32"/>
        </w:rPr>
        <w:t>20</w:t>
      </w:r>
      <w:r>
        <w:rPr>
          <w:rFonts w:hint="eastAsia" w:ascii="仿宋_GB2312" w:hAnsi="仿宋_GB2312" w:cs="仿宋_GB2312"/>
          <w:color w:val="auto"/>
          <w:szCs w:val="32"/>
        </w:rPr>
        <w:t>亿元，原则上投资额不超过项目本轮融资总额的</w:t>
      </w:r>
      <w:r>
        <w:rPr>
          <w:rFonts w:ascii="仿宋_GB2312" w:hAnsi="仿宋_GB2312" w:cs="仿宋_GB2312"/>
          <w:color w:val="auto"/>
          <w:szCs w:val="32"/>
        </w:rPr>
        <w:t>30%，</w:t>
      </w:r>
      <w:r>
        <w:rPr>
          <w:rFonts w:hint="eastAsia" w:ascii="仿宋_GB2312" w:hAnsi="仿宋_GB2312" w:cs="仿宋_GB2312"/>
          <w:color w:val="auto"/>
          <w:szCs w:val="32"/>
        </w:rPr>
        <w:t>定向基金投资比例不超过投资标的股权的20%，不为第一大股东，不得相对控股。</w:t>
      </w:r>
      <w:r>
        <w:rPr>
          <w:rFonts w:hint="eastAsia" w:ascii="仿宋_GB2312" w:hAnsi="仿宋_GB2312" w:cs="仿宋_GB2312"/>
          <w:b/>
          <w:bCs/>
          <w:color w:val="auto"/>
          <w:kern w:val="0"/>
          <w:szCs w:val="32"/>
        </w:rPr>
        <w:t>二是</w:t>
      </w:r>
      <w:r>
        <w:rPr>
          <w:rFonts w:hint="eastAsia" w:ascii="仿宋_GB2312" w:hAnsi="仿宋_GB2312" w:cs="仿宋_GB2312"/>
          <w:color w:val="auto"/>
          <w:kern w:val="0"/>
          <w:szCs w:val="32"/>
        </w:rPr>
        <w:t>效益类基金投资额度</w:t>
      </w:r>
      <w:r>
        <w:rPr>
          <w:rFonts w:hint="eastAsia" w:ascii="仿宋_GB2312" w:hAnsi="仿宋_GB2312" w:cs="仿宋_GB2312"/>
          <w:color w:val="auto"/>
          <w:kern w:val="0"/>
          <w:szCs w:val="32"/>
          <w:lang w:eastAsia="zh-CN"/>
        </w:rPr>
        <w:t>由</w:t>
      </w:r>
      <w:r>
        <w:rPr>
          <w:rFonts w:hint="eastAsia" w:ascii="仿宋_GB2312" w:hAnsi="仿宋_GB2312" w:cs="仿宋_GB2312"/>
          <w:color w:val="auto"/>
          <w:kern w:val="0"/>
          <w:szCs w:val="32"/>
        </w:rPr>
        <w:t>产业集团</w:t>
      </w:r>
      <w:r>
        <w:rPr>
          <w:rFonts w:hint="eastAsia" w:ascii="仿宋_GB2312" w:hAnsi="仿宋_GB2312" w:cs="仿宋_GB2312"/>
          <w:color w:val="auto"/>
          <w:kern w:val="0"/>
          <w:szCs w:val="32"/>
          <w:lang w:eastAsia="zh-CN"/>
        </w:rPr>
        <w:t>在其制定的</w:t>
      </w:r>
      <w:r>
        <w:rPr>
          <w:rFonts w:hint="eastAsia" w:ascii="仿宋_GB2312" w:hAnsi="仿宋_GB2312" w:cs="仿宋_GB2312"/>
          <w:color w:val="auto"/>
          <w:szCs w:val="32"/>
        </w:rPr>
        <w:t>产业基金</w:t>
      </w:r>
      <w:r>
        <w:rPr>
          <w:rFonts w:ascii="仿宋_GB2312" w:hAnsi="仿宋_GB2312" w:cs="仿宋_GB2312"/>
          <w:color w:val="auto"/>
          <w:szCs w:val="32"/>
        </w:rPr>
        <w:t>管理</w:t>
      </w:r>
      <w:r>
        <w:rPr>
          <w:rFonts w:hint="eastAsia" w:ascii="仿宋_GB2312" w:hAnsi="仿宋_GB2312" w:cs="仿宋_GB2312"/>
          <w:color w:val="auto"/>
          <w:kern w:val="0"/>
          <w:szCs w:val="32"/>
        </w:rPr>
        <w:t>办法中明确。</w:t>
      </w:r>
      <w:r>
        <w:rPr>
          <w:rFonts w:ascii="仿宋_GB2312" w:hAnsi="仿宋_GB2312" w:cs="仿宋_GB2312"/>
          <w:color w:val="auto"/>
          <w:szCs w:val="32"/>
        </w:rPr>
        <w:t>效益类基金对单</w:t>
      </w:r>
      <w:r>
        <w:rPr>
          <w:rFonts w:hint="eastAsia" w:ascii="仿宋_GB2312" w:hAnsi="仿宋_GB2312" w:cs="仿宋_GB2312"/>
          <w:color w:val="auto"/>
          <w:szCs w:val="32"/>
        </w:rPr>
        <w:t>只</w:t>
      </w:r>
      <w:r>
        <w:rPr>
          <w:rFonts w:ascii="仿宋_GB2312" w:hAnsi="仿宋_GB2312" w:cs="仿宋_GB2312"/>
          <w:color w:val="auto"/>
          <w:szCs w:val="32"/>
        </w:rPr>
        <w:t>社会化合作基金（FOF）的出资金额原则上为5000万元以</w:t>
      </w:r>
      <w:r>
        <w:rPr>
          <w:rFonts w:hint="eastAsia" w:ascii="仿宋_GB2312" w:hAnsi="仿宋_GB2312" w:cs="仿宋_GB2312"/>
          <w:color w:val="auto"/>
          <w:szCs w:val="32"/>
        </w:rPr>
        <w:t>下</w:t>
      </w:r>
      <w:r>
        <w:rPr>
          <w:rFonts w:ascii="仿宋_GB2312" w:hAnsi="仿宋_GB2312" w:cs="仿宋_GB2312"/>
          <w:color w:val="auto"/>
          <w:szCs w:val="32"/>
        </w:rPr>
        <w:t>，最高不超过1亿元</w:t>
      </w:r>
      <w:r>
        <w:rPr>
          <w:rFonts w:hint="eastAsia" w:ascii="仿宋_GB2312" w:hAnsi="仿宋_GB2312" w:cs="仿宋_GB2312"/>
          <w:color w:val="auto"/>
          <w:szCs w:val="32"/>
        </w:rPr>
        <w:t>；</w:t>
      </w:r>
      <w:r>
        <w:rPr>
          <w:rFonts w:ascii="仿宋_GB2312" w:hAnsi="仿宋_GB2312" w:cs="仿宋_GB2312"/>
          <w:color w:val="auto"/>
          <w:szCs w:val="32"/>
        </w:rPr>
        <w:t>在社会化合作基金（FOF）中的持股比例不超过20%。效益类基金</w:t>
      </w:r>
      <w:r>
        <w:rPr>
          <w:rFonts w:hint="eastAsia" w:ascii="仿宋_GB2312" w:hAnsi="仿宋_GB2312" w:cs="仿宋_GB2312"/>
          <w:color w:val="auto"/>
          <w:szCs w:val="32"/>
        </w:rPr>
        <w:t>在实缴出资时应</w:t>
      </w:r>
      <w:r>
        <w:rPr>
          <w:rFonts w:ascii="仿宋_GB2312" w:hAnsi="仿宋_GB2312" w:cs="仿宋_GB2312"/>
          <w:color w:val="auto"/>
          <w:szCs w:val="32"/>
        </w:rPr>
        <w:t>与社会资本同比例且后于社会资本出资。</w:t>
      </w:r>
      <w:r>
        <w:rPr>
          <w:rFonts w:hint="eastAsia" w:ascii="仿宋_GB2312" w:hAnsi="仿宋_GB2312" w:cs="仿宋_GB2312"/>
          <w:color w:val="auto"/>
          <w:szCs w:val="32"/>
        </w:rPr>
        <w:t>社会化合作基金（F</w:t>
      </w:r>
      <w:r>
        <w:rPr>
          <w:rFonts w:ascii="仿宋_GB2312" w:hAnsi="仿宋_GB2312" w:cs="仿宋_GB2312"/>
          <w:color w:val="auto"/>
          <w:szCs w:val="32"/>
        </w:rPr>
        <w:t>OF</w:t>
      </w:r>
      <w:r>
        <w:rPr>
          <w:rFonts w:hint="eastAsia" w:ascii="仿宋_GB2312" w:hAnsi="仿宋_GB2312" w:cs="仿宋_GB2312"/>
          <w:color w:val="auto"/>
          <w:szCs w:val="32"/>
        </w:rPr>
        <w:t>）所投钱塘区内金额不低于钱塘区出资额的</w:t>
      </w:r>
      <w:r>
        <w:rPr>
          <w:rFonts w:ascii="仿宋_GB2312" w:hAnsi="仿宋_GB2312" w:cs="仿宋_GB2312"/>
          <w:color w:val="auto"/>
          <w:szCs w:val="32"/>
        </w:rPr>
        <w:t>2倍</w:t>
      </w:r>
      <w:r>
        <w:rPr>
          <w:rFonts w:hint="eastAsia" w:ascii="仿宋_GB2312" w:hAnsi="仿宋_GB2312" w:cs="仿宋_GB2312"/>
          <w:color w:val="auto"/>
          <w:szCs w:val="32"/>
        </w:rPr>
        <w:t>，实现程度与基金的后续分期出资挂钩</w:t>
      </w:r>
      <w:r>
        <w:rPr>
          <w:rFonts w:ascii="仿宋_GB2312" w:hAnsi="仿宋_GB2312" w:cs="仿宋_GB2312"/>
          <w:color w:val="auto"/>
          <w:szCs w:val="32"/>
        </w:rPr>
        <w:t>。</w:t>
      </w:r>
      <w:r>
        <w:rPr>
          <w:rFonts w:hint="eastAsia" w:ascii="仿宋_GB2312" w:hAnsi="仿宋_GB2312" w:cs="仿宋_GB2312"/>
          <w:color w:val="auto"/>
          <w:szCs w:val="32"/>
        </w:rPr>
        <w:t>产业集团有权向参与出资的</w:t>
      </w:r>
      <w:r>
        <w:rPr>
          <w:rFonts w:hint="eastAsia" w:ascii="仿宋_GB2312" w:hAnsi="仿宋_GB2312" w:cs="仿宋_GB2312"/>
          <w:color w:val="auto"/>
          <w:szCs w:val="32"/>
          <w:lang w:eastAsia="zh-CN"/>
        </w:rPr>
        <w:t>社会化合作</w:t>
      </w:r>
      <w:r>
        <w:rPr>
          <w:rFonts w:hint="eastAsia" w:ascii="仿宋_GB2312" w:hAnsi="仿宋_GB2312" w:cs="仿宋_GB2312"/>
          <w:color w:val="auto"/>
          <w:szCs w:val="32"/>
        </w:rPr>
        <w:t>基金（F</w:t>
      </w:r>
      <w:r>
        <w:rPr>
          <w:rFonts w:ascii="仿宋_GB2312" w:hAnsi="仿宋_GB2312" w:cs="仿宋_GB2312"/>
          <w:color w:val="auto"/>
          <w:szCs w:val="32"/>
        </w:rPr>
        <w:t>OF</w:t>
      </w:r>
      <w:r>
        <w:rPr>
          <w:rFonts w:hint="eastAsia" w:ascii="仿宋_GB2312" w:hAnsi="仿宋_GB2312" w:cs="仿宋_GB2312"/>
          <w:color w:val="auto"/>
          <w:szCs w:val="32"/>
        </w:rPr>
        <w:t>）委派观察员。效益类基金在所投的单个项目中不得为第一大股东，不得相对控股。鼓励效益类基金对政策类基金已投的优质项目进行跟投，由产业集团自主决策。</w:t>
      </w:r>
    </w:p>
    <w:p>
      <w:pPr>
        <w:pStyle w:val="3"/>
        <w:spacing w:after="0" w:line="560" w:lineRule="exact"/>
        <w:ind w:firstLine="642" w:firstLineChars="200"/>
        <w:jc w:val="both"/>
        <w:rPr>
          <w:rFonts w:ascii="仿宋_GB2312" w:hAnsi="仿宋_GB2312" w:cs="仿宋_GB2312"/>
          <w:color w:val="auto"/>
          <w:szCs w:val="32"/>
        </w:rPr>
      </w:pPr>
      <w:r>
        <w:rPr>
          <w:rFonts w:hint="eastAsia" w:ascii="仿宋_GB2312" w:hAnsi="仿宋_GB2312" w:cs="仿宋_GB2312"/>
          <w:b/>
          <w:bCs/>
          <w:color w:val="auto"/>
          <w:kern w:val="0"/>
          <w:szCs w:val="32"/>
        </w:rPr>
        <w:t>3.优化政策类基金让利方式。一是</w:t>
      </w:r>
      <w:r>
        <w:rPr>
          <w:rFonts w:hint="eastAsia" w:ascii="仿宋_GB2312" w:hAnsi="仿宋_GB2312" w:cs="仿宋_GB2312"/>
          <w:color w:val="auto"/>
          <w:kern w:val="0"/>
          <w:szCs w:val="32"/>
        </w:rPr>
        <w:t>让利额度设上限。</w:t>
      </w:r>
      <w:r>
        <w:rPr>
          <w:rFonts w:hint="eastAsia" w:ascii="仿宋_GB2312" w:hAnsi="仿宋_GB2312" w:cs="仿宋_GB2312"/>
          <w:color w:val="auto"/>
          <w:szCs w:val="32"/>
          <w:lang w:bidi="ar"/>
        </w:rPr>
        <w:t>5年内退出的超额收益让渡比例最高不超过50%，具体让利额度由产业平台一事一议，根据项目整体政策支持方案统筹平衡，原则上与投资年限挂钩，鼓励缩短投资时间，超出5年不予奖励</w:t>
      </w:r>
      <w:r>
        <w:rPr>
          <w:rFonts w:hint="eastAsia" w:ascii="仿宋_GB2312" w:hAnsi="仿宋_GB2312" w:cs="仿宋_GB2312"/>
          <w:bCs/>
          <w:color w:val="auto"/>
          <w:szCs w:val="32"/>
        </w:rPr>
        <w:t>；</w:t>
      </w:r>
      <w:r>
        <w:rPr>
          <w:rFonts w:hint="eastAsia" w:ascii="仿宋_GB2312" w:hAnsi="仿宋_GB2312" w:cs="仿宋_GB2312"/>
          <w:b/>
          <w:color w:val="auto"/>
          <w:szCs w:val="32"/>
        </w:rPr>
        <w:t>二是</w:t>
      </w:r>
      <w:r>
        <w:rPr>
          <w:rFonts w:hint="eastAsia" w:ascii="仿宋_GB2312" w:hAnsi="仿宋_GB2312" w:cs="仿宋_GB2312"/>
          <w:color w:val="auto"/>
          <w:kern w:val="0"/>
          <w:szCs w:val="32"/>
        </w:rPr>
        <w:t>投资与让利分离。基金投资</w:t>
      </w:r>
      <w:r>
        <w:rPr>
          <w:rFonts w:hint="eastAsia" w:ascii="仿宋_GB2312" w:hAnsi="仿宋_GB2312" w:cs="仿宋_GB2312"/>
          <w:bCs/>
          <w:color w:val="auto"/>
          <w:szCs w:val="32"/>
        </w:rPr>
        <w:t>按照“同股同权”原则确认投资收益，基金让利由产业平台根据</w:t>
      </w:r>
      <w:r>
        <w:rPr>
          <w:rFonts w:hint="eastAsia" w:ascii="仿宋_GB2312" w:hAnsi="仿宋_GB2312" w:cs="仿宋_GB2312"/>
          <w:color w:val="auto"/>
          <w:szCs w:val="32"/>
        </w:rPr>
        <w:t>项目的投入、产出和效益情况在让利额度内通过予以产业政策支持。</w:t>
      </w:r>
      <w:r>
        <w:rPr>
          <w:rFonts w:hint="eastAsia" w:ascii="仿宋_GB2312" w:hAnsi="仿宋_GB2312" w:cs="仿宋_GB2312"/>
          <w:color w:val="auto"/>
          <w:szCs w:val="32"/>
          <w:lang w:eastAsia="zh-CN"/>
        </w:rPr>
        <w:t>基金投资收益</w:t>
      </w:r>
      <w:r>
        <w:rPr>
          <w:rFonts w:hint="eastAsia" w:ascii="仿宋_GB2312" w:hAnsi="仿宋_GB2312" w:cs="仿宋_GB2312"/>
          <w:color w:val="auto"/>
          <w:szCs w:val="32"/>
        </w:rPr>
        <w:t>由产业集团通过</w:t>
      </w:r>
      <w:r>
        <w:rPr>
          <w:rFonts w:hint="eastAsia" w:ascii="仿宋_GB2312" w:hAnsi="仿宋_GB2312" w:cs="仿宋_GB2312"/>
          <w:color w:val="auto"/>
          <w:szCs w:val="32"/>
          <w:lang w:eastAsia="zh-CN"/>
        </w:rPr>
        <w:t>国有资本经营收益</w:t>
      </w:r>
      <w:r>
        <w:rPr>
          <w:rFonts w:hint="eastAsia" w:ascii="仿宋_GB2312" w:hAnsi="仿宋_GB2312" w:cs="仿宋_GB2312"/>
          <w:color w:val="auto"/>
          <w:szCs w:val="32"/>
        </w:rPr>
        <w:t>上交财政。效益类按照同股同权运行，不参与让利。</w:t>
      </w:r>
    </w:p>
    <w:p>
      <w:pPr>
        <w:pStyle w:val="3"/>
        <w:spacing w:after="0" w:line="560" w:lineRule="exact"/>
        <w:ind w:firstLine="642" w:firstLineChars="200"/>
        <w:jc w:val="both"/>
        <w:rPr>
          <w:rFonts w:ascii="仿宋_GB2312" w:hAnsi="仿宋_GB2312" w:cs="仿宋_GB2312"/>
          <w:color w:val="auto"/>
          <w:szCs w:val="32"/>
          <w:lang w:bidi="ar"/>
        </w:rPr>
      </w:pPr>
      <w:r>
        <w:rPr>
          <w:rFonts w:hint="eastAsia" w:ascii="仿宋_GB2312" w:hAnsi="仿宋_GB2312" w:cs="仿宋_GB2312"/>
          <w:b/>
          <w:bCs/>
          <w:color w:val="auto"/>
          <w:szCs w:val="32"/>
        </w:rPr>
        <w:t>4.建立激励与约束机制。一是</w:t>
      </w:r>
      <w:r>
        <w:rPr>
          <w:rFonts w:hint="eastAsia" w:ascii="仿宋_GB2312" w:hAnsi="仿宋_GB2312" w:cs="仿宋_GB2312"/>
          <w:color w:val="auto"/>
          <w:szCs w:val="32"/>
        </w:rPr>
        <w:t>鼓励产业集团制定基金管理公司团队持股、团队市场化激励和团队跟投等机制。团队可通过设立有限合伙企业作为跟投平台等形式进行跟投。</w:t>
      </w:r>
      <w:r>
        <w:rPr>
          <w:rFonts w:hint="eastAsia" w:ascii="仿宋_GB2312" w:hAnsi="仿宋_GB2312" w:cs="仿宋_GB2312"/>
          <w:b/>
          <w:bCs/>
          <w:color w:val="auto"/>
          <w:szCs w:val="32"/>
        </w:rPr>
        <w:t>二是</w:t>
      </w:r>
      <w:r>
        <w:rPr>
          <w:rFonts w:hint="eastAsia" w:ascii="仿宋_GB2312" w:hAnsi="仿宋_GB2312" w:cs="仿宋_GB2312"/>
          <w:color w:val="auto"/>
          <w:szCs w:val="32"/>
        </w:rPr>
        <w:t>实施产业基金全过程绩效管理。基金管理机构加强对投资项目进展情况、资金使用情况、财务收支情况</w:t>
      </w:r>
      <w:r>
        <w:rPr>
          <w:rFonts w:hint="eastAsia" w:ascii="仿宋_GB2312" w:hAnsi="仿宋_GB2312" w:cs="仿宋_GB2312"/>
          <w:color w:val="auto"/>
          <w:szCs w:val="32"/>
          <w:lang w:bidi="ar"/>
        </w:rPr>
        <w:t>等进行监督检查、跟踪评价，涉及政策性基金投资项目发生重大变化的，</w:t>
      </w:r>
      <w:r>
        <w:rPr>
          <w:rFonts w:hint="eastAsia" w:ascii="仿宋_GB2312" w:hAnsi="仿宋_GB2312" w:cs="仿宋_GB2312"/>
          <w:color w:val="auto"/>
          <w:szCs w:val="32"/>
          <w:highlight w:val="none"/>
          <w:lang w:bidi="ar"/>
        </w:rPr>
        <w:t>书面告知产业平台；产业平台</w:t>
      </w:r>
      <w:r>
        <w:rPr>
          <w:rFonts w:hint="eastAsia" w:ascii="仿宋_GB2312" w:hAnsi="仿宋_GB2312" w:cs="仿宋_GB2312"/>
          <w:color w:val="auto"/>
          <w:szCs w:val="32"/>
          <w:highlight w:val="none"/>
          <w:lang w:eastAsia="zh-CN" w:bidi="ar"/>
        </w:rPr>
        <w:t>牵头做好政策类项目的投后管理和日常</w:t>
      </w:r>
      <w:r>
        <w:rPr>
          <w:rFonts w:hint="eastAsia" w:ascii="仿宋_GB2312" w:hAnsi="仿宋_GB2312" w:cs="仿宋_GB2312"/>
          <w:color w:val="auto"/>
          <w:szCs w:val="32"/>
          <w:highlight w:val="none"/>
          <w:lang w:bidi="ar"/>
        </w:rPr>
        <w:t>服务，投后项目情况发生变化的，书面告知基金管理机构；</w:t>
      </w:r>
      <w:r>
        <w:rPr>
          <w:rFonts w:hint="eastAsia" w:ascii="仿宋_GB2312" w:hAnsi="仿宋_GB2312" w:cs="仿宋_GB2312"/>
          <w:color w:val="auto"/>
          <w:szCs w:val="32"/>
        </w:rPr>
        <w:t>产业集</w:t>
      </w:r>
      <w:r>
        <w:rPr>
          <w:rFonts w:hint="eastAsia" w:ascii="仿宋_GB2312" w:hAnsi="仿宋_GB2312" w:cs="仿宋_GB2312"/>
          <w:color w:val="auto"/>
          <w:szCs w:val="32"/>
          <w:lang w:bidi="ar"/>
        </w:rPr>
        <w:t>团承担对下属</w:t>
      </w:r>
      <w:r>
        <w:rPr>
          <w:rFonts w:hint="eastAsia" w:ascii="仿宋_GB2312" w:hAnsi="仿宋_GB2312" w:cs="仿宋_GB2312"/>
          <w:color w:val="auto"/>
          <w:szCs w:val="32"/>
          <w:lang w:eastAsia="zh-CN" w:bidi="ar"/>
        </w:rPr>
        <w:t>基金管理</w:t>
      </w:r>
      <w:r>
        <w:rPr>
          <w:rFonts w:hint="eastAsia" w:ascii="仿宋_GB2312" w:hAnsi="仿宋_GB2312" w:cs="仿宋_GB2312"/>
          <w:color w:val="auto"/>
          <w:szCs w:val="32"/>
          <w:lang w:bidi="ar"/>
        </w:rPr>
        <w:t>公司</w:t>
      </w:r>
      <w:r>
        <w:rPr>
          <w:rFonts w:hint="eastAsia" w:ascii="仿宋_GB2312" w:hAnsi="仿宋_GB2312" w:cs="仿宋_GB2312"/>
          <w:color w:val="auto"/>
          <w:szCs w:val="32"/>
          <w:lang w:eastAsia="zh-CN" w:bidi="ar"/>
        </w:rPr>
        <w:t>的</w:t>
      </w:r>
      <w:r>
        <w:rPr>
          <w:rFonts w:hint="eastAsia" w:ascii="仿宋_GB2312" w:hAnsi="仿宋_GB2312" w:cs="仿宋_GB2312"/>
          <w:color w:val="auto"/>
          <w:szCs w:val="32"/>
          <w:lang w:bidi="ar"/>
        </w:rPr>
        <w:t>监管责任。</w:t>
      </w:r>
    </w:p>
    <w:p>
      <w:pPr>
        <w:pStyle w:val="3"/>
        <w:spacing w:after="0" w:line="560" w:lineRule="exact"/>
        <w:ind w:firstLine="642" w:firstLineChars="200"/>
        <w:jc w:val="both"/>
        <w:rPr>
          <w:rFonts w:ascii="仿宋_GB2312" w:hAnsi="仿宋_GB2312" w:cs="仿宋_GB2312"/>
          <w:color w:val="auto"/>
          <w:szCs w:val="32"/>
        </w:rPr>
      </w:pPr>
      <w:r>
        <w:rPr>
          <w:rFonts w:hint="eastAsia" w:ascii="楷体_GB2312" w:hAnsi="楷体_GB2312" w:eastAsia="楷体_GB2312" w:cs="楷体_GB2312"/>
          <w:b/>
          <w:bCs/>
          <w:color w:val="auto"/>
          <w:szCs w:val="32"/>
        </w:rPr>
        <w:t>（五）加强产业基金退出管理。</w:t>
      </w:r>
      <w:r>
        <w:rPr>
          <w:rFonts w:hint="eastAsia" w:ascii="仿宋_GB2312" w:hAnsi="仿宋_GB2312" w:cs="仿宋_GB2312"/>
          <w:b/>
          <w:bCs/>
          <w:color w:val="auto"/>
          <w:szCs w:val="32"/>
          <w:lang w:bidi="ar"/>
        </w:rPr>
        <w:t>一是</w:t>
      </w:r>
      <w:r>
        <w:rPr>
          <w:rFonts w:hint="eastAsia" w:ascii="仿宋_GB2312" w:hAnsi="仿宋_GB2312" w:cs="仿宋_GB2312"/>
          <w:color w:val="auto"/>
          <w:szCs w:val="32"/>
        </w:rPr>
        <w:t>产业基金通常采取股权（份额）转让、股票减持方式退出，异常情况下可采取股东（合伙人）回购及解散清算等方式退出。</w:t>
      </w:r>
      <w:r>
        <w:rPr>
          <w:rFonts w:hint="eastAsia" w:ascii="仿宋_GB2312" w:hAnsi="仿宋_GB2312" w:cs="仿宋_GB2312"/>
          <w:b/>
          <w:bCs/>
          <w:color w:val="auto"/>
          <w:szCs w:val="32"/>
        </w:rPr>
        <w:t>二是</w:t>
      </w:r>
      <w:r>
        <w:rPr>
          <w:rFonts w:hint="eastAsia" w:ascii="仿宋_GB2312" w:hAnsi="仿宋_GB2312" w:cs="仿宋_GB2312"/>
          <w:color w:val="auto"/>
          <w:szCs w:val="32"/>
        </w:rPr>
        <w:t>对于政策类项目，产业基金投资项目在达到协议约定的投资年限或退出条件时，由基金管理公司按约定实施退出后向产业平台或相关主管部门报备；其他情形下需要退出的，经产业平台投资决策委员会审议决策后，由产业平台按照投资审定权限决策</w:t>
      </w:r>
      <w:r>
        <w:rPr>
          <w:rFonts w:hint="eastAsia" w:ascii="仿宋_GB2312" w:hAnsi="仿宋_GB2312" w:cs="仿宋_GB2312"/>
          <w:color w:val="auto"/>
          <w:szCs w:val="32"/>
          <w:lang w:eastAsia="zh-CN"/>
        </w:rPr>
        <w:t>。</w:t>
      </w:r>
      <w:r>
        <w:rPr>
          <w:rFonts w:hint="eastAsia" w:ascii="仿宋_GB2312" w:hAnsi="仿宋_GB2312" w:eastAsia="仿宋_GB2312" w:cs="仿宋_GB2312"/>
          <w:color w:val="auto"/>
          <w:sz w:val="32"/>
          <w:szCs w:val="32"/>
        </w:rPr>
        <w:t>基金管理公司</w:t>
      </w:r>
      <w:r>
        <w:rPr>
          <w:rFonts w:hint="eastAsia" w:ascii="Calibri" w:hAnsi="Calibri" w:eastAsia="仿宋_GB2312" w:cs="Calibri"/>
          <w:color w:val="auto"/>
          <w:sz w:val="32"/>
          <w:szCs w:val="32"/>
        </w:rPr>
        <w:t>在收到上述书面决策意见后</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集团“三重一大”要求</w:t>
      </w:r>
      <w:r>
        <w:rPr>
          <w:rFonts w:hint="eastAsia" w:ascii="仿宋_GB2312" w:hAnsi="仿宋_GB2312" w:eastAsia="仿宋_GB2312" w:cs="仿宋_GB2312"/>
          <w:color w:val="auto"/>
          <w:sz w:val="32"/>
          <w:szCs w:val="32"/>
        </w:rPr>
        <w:t>履行相关程序。</w:t>
      </w:r>
      <w:r>
        <w:rPr>
          <w:rFonts w:hint="eastAsia" w:ascii="仿宋_GB2312" w:hAnsi="仿宋_GB2312" w:cs="仿宋_GB2312"/>
          <w:b/>
          <w:bCs/>
          <w:color w:val="auto"/>
          <w:szCs w:val="32"/>
        </w:rPr>
        <w:t>三是</w:t>
      </w:r>
      <w:r>
        <w:rPr>
          <w:rFonts w:hint="eastAsia" w:ascii="仿宋_GB2312" w:hAnsi="仿宋_GB2312" w:cs="仿宋_GB2312"/>
          <w:color w:val="auto"/>
          <w:szCs w:val="32"/>
        </w:rPr>
        <w:t>产业基金原则上应按照章程或协议约定的退出方式执行。章程或协议</w:t>
      </w:r>
      <w:r>
        <w:rPr>
          <w:rFonts w:hint="eastAsia" w:ascii="仿宋_GB2312" w:hAnsi="仿宋_GB2312" w:cs="仿宋_GB2312"/>
          <w:color w:val="auto"/>
          <w:szCs w:val="32"/>
          <w:lang w:eastAsia="zh-CN"/>
        </w:rPr>
        <w:t>未</w:t>
      </w:r>
      <w:r>
        <w:rPr>
          <w:rFonts w:hint="eastAsia" w:ascii="仿宋_GB2312" w:hAnsi="仿宋_GB2312" w:cs="仿宋_GB2312"/>
          <w:color w:val="auto"/>
          <w:szCs w:val="32"/>
        </w:rPr>
        <w:t>约定</w:t>
      </w:r>
      <w:r>
        <w:rPr>
          <w:rFonts w:hint="eastAsia" w:ascii="仿宋_GB2312" w:hAnsi="仿宋_GB2312" w:cs="仿宋_GB2312"/>
          <w:color w:val="auto"/>
          <w:szCs w:val="32"/>
          <w:lang w:eastAsia="zh-CN"/>
        </w:rPr>
        <w:t>的</w:t>
      </w:r>
      <w:r>
        <w:rPr>
          <w:rFonts w:hint="eastAsia" w:ascii="仿宋_GB2312" w:hAnsi="仿宋_GB2312" w:cs="仿宋_GB2312"/>
          <w:color w:val="auto"/>
          <w:szCs w:val="32"/>
        </w:rPr>
        <w:t>，按</w:t>
      </w:r>
      <w:r>
        <w:rPr>
          <w:rFonts w:hint="eastAsia" w:ascii="仿宋_GB2312" w:hAnsi="仿宋_GB2312" w:cs="仿宋_GB2312"/>
          <w:color w:val="auto"/>
          <w:szCs w:val="32"/>
          <w:lang w:eastAsia="zh-CN"/>
        </w:rPr>
        <w:t>照</w:t>
      </w:r>
      <w:r>
        <w:rPr>
          <w:rFonts w:hint="eastAsia" w:ascii="仿宋_GB2312" w:hAnsi="仿宋_GB2312" w:cs="仿宋_GB2312"/>
          <w:color w:val="auto"/>
          <w:szCs w:val="32"/>
        </w:rPr>
        <w:t>国有资产</w:t>
      </w:r>
      <w:r>
        <w:rPr>
          <w:rFonts w:hint="eastAsia" w:ascii="仿宋_GB2312" w:hAnsi="仿宋_GB2312" w:cs="仿宋_GB2312"/>
          <w:color w:val="auto"/>
          <w:szCs w:val="32"/>
          <w:lang w:eastAsia="zh-CN"/>
        </w:rPr>
        <w:t>交易</w:t>
      </w:r>
      <w:r>
        <w:rPr>
          <w:rFonts w:hint="eastAsia" w:ascii="仿宋_GB2312" w:hAnsi="仿宋_GB2312" w:cs="仿宋_GB2312"/>
          <w:color w:val="auto"/>
          <w:szCs w:val="32"/>
        </w:rPr>
        <w:t>管理</w:t>
      </w:r>
      <w:r>
        <w:rPr>
          <w:rFonts w:hint="eastAsia" w:ascii="仿宋_GB2312" w:hAnsi="仿宋_GB2312" w:cs="仿宋_GB2312"/>
          <w:color w:val="auto"/>
          <w:szCs w:val="32"/>
          <w:lang w:eastAsia="zh-CN"/>
        </w:rPr>
        <w:t>要求</w:t>
      </w:r>
      <w:r>
        <w:rPr>
          <w:rFonts w:hint="eastAsia" w:ascii="仿宋_GB2312" w:hAnsi="仿宋_GB2312" w:cs="仿宋_GB2312"/>
          <w:color w:val="auto"/>
          <w:szCs w:val="32"/>
        </w:rPr>
        <w:t>聘请具备资质的资产评估机构进行评估，政策类项目评估由产业平台按规定进行评估并将评估结果报送基金管理公司。</w:t>
      </w:r>
    </w:p>
    <w:p>
      <w:pPr>
        <w:pStyle w:val="3"/>
        <w:spacing w:after="0" w:line="560" w:lineRule="exact"/>
        <w:ind w:firstLine="642" w:firstLineChars="200"/>
        <w:jc w:val="both"/>
        <w:rPr>
          <w:rFonts w:ascii="仿宋_GB2312" w:hAnsi="仿宋_GB2312" w:cs="仿宋_GB2312"/>
          <w:color w:val="auto"/>
          <w:szCs w:val="32"/>
          <w:lang w:bidi="ar"/>
        </w:rPr>
      </w:pPr>
      <w:r>
        <w:rPr>
          <w:rFonts w:hint="eastAsia" w:ascii="仿宋_GB2312" w:hAnsi="仿宋_GB2312" w:cs="仿宋_GB2312"/>
          <w:b/>
          <w:bCs/>
          <w:color w:val="auto"/>
          <w:szCs w:val="32"/>
        </w:rPr>
        <w:t>（六）做好新旧有关制度的衔接。一是</w:t>
      </w:r>
      <w:r>
        <w:rPr>
          <w:rFonts w:hint="eastAsia" w:ascii="仿宋_GB2312" w:hAnsi="仿宋_GB2312" w:cs="仿宋_GB2312"/>
          <w:color w:val="auto"/>
          <w:szCs w:val="32"/>
          <w:lang w:bidi="ar"/>
        </w:rPr>
        <w:t>本意见实施前原已投资运作的项目均按照原</w:t>
      </w:r>
      <w:r>
        <w:rPr>
          <w:rFonts w:hint="eastAsia" w:ascii="仿宋_GB2312" w:hAnsi="仿宋_GB2312" w:cs="仿宋_GB2312"/>
          <w:color w:val="auto"/>
          <w:szCs w:val="32"/>
        </w:rPr>
        <w:t>协议执行，并按照原制度执行相关让利政策。本意见实施前已通过立项尚未完成决策的直投基金投资项目，由基金管理公司完成投决会决策，</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集团“三重一大”要求</w:t>
      </w:r>
      <w:r>
        <w:rPr>
          <w:rFonts w:hint="eastAsia" w:ascii="仿宋_GB2312" w:hAnsi="仿宋_GB2312" w:eastAsia="仿宋_GB2312" w:cs="仿宋_GB2312"/>
          <w:color w:val="auto"/>
          <w:sz w:val="32"/>
          <w:szCs w:val="32"/>
        </w:rPr>
        <w:t>履行相关程序</w:t>
      </w:r>
      <w:r>
        <w:rPr>
          <w:rFonts w:hint="eastAsia" w:ascii="仿宋_GB2312" w:hAnsi="仿宋_GB2312" w:cs="仿宋_GB2312"/>
          <w:color w:val="auto"/>
          <w:sz w:val="32"/>
          <w:szCs w:val="32"/>
          <w:lang w:eastAsia="zh-CN"/>
        </w:rPr>
        <w:t>后，</w:t>
      </w:r>
      <w:r>
        <w:rPr>
          <w:rFonts w:hint="eastAsia" w:ascii="仿宋_GB2312" w:hAnsi="仿宋_GB2312" w:cs="仿宋_GB2312"/>
          <w:color w:val="auto"/>
          <w:szCs w:val="32"/>
        </w:rPr>
        <w:t>报区国资办备案，并按照原制度执行相关让利政策；已通过立项尚未完成决策的社会化合作基金（F</w:t>
      </w:r>
      <w:r>
        <w:rPr>
          <w:rFonts w:ascii="仿宋_GB2312" w:hAnsi="仿宋_GB2312" w:cs="仿宋_GB2312"/>
          <w:color w:val="auto"/>
          <w:szCs w:val="32"/>
        </w:rPr>
        <w:t>OF</w:t>
      </w:r>
      <w:r>
        <w:rPr>
          <w:rFonts w:hint="eastAsia" w:ascii="仿宋_GB2312" w:hAnsi="仿宋_GB2312" w:cs="仿宋_GB2312"/>
          <w:color w:val="auto"/>
          <w:szCs w:val="32"/>
        </w:rPr>
        <w:t>），由产业集团报区政府常务会议决策，并按照原制度及立项内容执行相关让利政策；已通过立项尚未完成决策的定向基金，由原提起立项的产业平台提交区政府常务会会议决策后，提交区委常委会会议决策。</w:t>
      </w:r>
      <w:r>
        <w:rPr>
          <w:rFonts w:hint="eastAsia" w:ascii="仿宋_GB2312" w:hAnsi="仿宋_GB2312" w:cs="仿宋_GB2312"/>
          <w:b/>
          <w:bCs/>
          <w:color w:val="auto"/>
          <w:szCs w:val="32"/>
        </w:rPr>
        <w:t>二是</w:t>
      </w:r>
      <w:r>
        <w:rPr>
          <w:rFonts w:hint="eastAsia" w:ascii="仿宋_GB2312" w:hAnsi="仿宋_GB2312" w:cs="仿宋_GB2312"/>
          <w:color w:val="auto"/>
          <w:szCs w:val="32"/>
        </w:rPr>
        <w:t>上述原已投资及原已立项项目中，定向基金投资项目重大投后事项，由基金管理公司决策报产业集团及产业平台审批，并由产业平台和产业集团共同报送区政府常务会会议决策后执行；其他项目重大投后事项由基金管理公司决策报产业集团审批后执行。</w:t>
      </w:r>
    </w:p>
    <w:p>
      <w:pPr>
        <w:snapToGrid w:val="0"/>
        <w:spacing w:line="560" w:lineRule="exact"/>
        <w:ind w:firstLine="640" w:firstLineChars="200"/>
        <w:rPr>
          <w:color w:val="auto"/>
        </w:rPr>
      </w:pPr>
      <w:r>
        <w:rPr>
          <w:rFonts w:hint="eastAsia" w:ascii="仿宋_GB2312" w:hAnsi="仿宋_GB2312" w:eastAsia="仿宋_GB2312" w:cs="仿宋_GB2312"/>
          <w:color w:val="auto"/>
          <w:sz w:val="32"/>
          <w:szCs w:val="32"/>
        </w:rPr>
        <w:t>本意见自2022年08月01日起施行，由区财政局负责解释。本办法与《杭州钱塘新区政府出资产业基金管理办法》</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钱塘管发</w:t>
      </w:r>
      <w:r>
        <w:rPr>
          <w:rFonts w:ascii="仿宋_GB2312" w:hAnsi="仿宋_GB2312" w:eastAsia="仿宋_GB2312" w:cs="仿宋_GB2312"/>
          <w:color w:val="auto"/>
          <w:sz w:val="32"/>
          <w:szCs w:val="32"/>
        </w:rPr>
        <w:t>〔2020〕11</w:t>
      </w:r>
      <w:r>
        <w:rPr>
          <w:rFonts w:hint="eastAsia" w:ascii="仿宋_GB2312" w:hAnsi="仿宋_GB2312" w:eastAsia="仿宋_GB2312" w:cs="仿宋_GB2312"/>
          <w:color w:val="auto"/>
          <w:sz w:val="32"/>
          <w:szCs w:val="32"/>
        </w:rPr>
        <w:t>号</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不一致的，按本办法执行。《杭州钱塘新区主导产业发展基金管理办法》</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钱塘管办发</w:t>
      </w:r>
      <w:r>
        <w:rPr>
          <w:rFonts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rPr>
        <w:t>34号</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、《杭州钱塘新区和达生物医药产业基金管理办法》</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钱塘管办发</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2020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35号</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、《杭州钱塘新区创新成长产业投资基金管理办法》</w:t>
      </w:r>
      <w:r>
        <w:rPr>
          <w:rFonts w:ascii="仿宋_GB2312" w:hAnsi="仿宋_GB2312" w:eastAsia="仿宋_GB2312" w:cs="仿宋_GB2312"/>
          <w:color w:val="auto"/>
          <w:sz w:val="32"/>
          <w:szCs w:val="32"/>
        </w:rPr>
        <w:t>（钱塘管办发〔2021〕1号</w:t>
      </w:r>
      <w:r>
        <w:rPr>
          <w:rFonts w:hint="eastAsia" w:ascii="仿宋_GB2312" w:hAnsi="仿宋_GB2312" w:eastAsia="仿宋_GB2312" w:cs="仿宋_GB2312"/>
          <w:color w:val="auto"/>
          <w:sz w:val="32"/>
          <w:szCs w:val="32"/>
        </w:rPr>
        <w:t>）、《杭州钱塘新区创业投资引导基金管理办法》</w:t>
      </w:r>
      <w:r>
        <w:rPr>
          <w:rFonts w:ascii="仿宋_GB2312" w:hAnsi="仿宋_GB2312" w:eastAsia="仿宋_GB2312" w:cs="仿宋_GB2312"/>
          <w:color w:val="auto"/>
          <w:sz w:val="32"/>
          <w:szCs w:val="32"/>
        </w:rPr>
        <w:t>（钱塘管办发〔2021〕2号</w:t>
      </w:r>
      <w:r>
        <w:rPr>
          <w:rFonts w:hint="eastAsia" w:ascii="仿宋_GB2312" w:hAnsi="仿宋_GB2312" w:eastAsia="仿宋_GB2312" w:cs="仿宋_GB2312"/>
          <w:color w:val="auto"/>
          <w:sz w:val="32"/>
          <w:szCs w:val="32"/>
        </w:rPr>
        <w:t>）等4个文件同时废止。</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4445447"/>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3ZDc5NTQ0ZDkyNGJlMDdjYWJjOTQ5NTM3NTkxMjMifQ=="/>
  </w:docVars>
  <w:rsids>
    <w:rsidRoot w:val="00000000"/>
    <w:rsid w:val="0AAD12C6"/>
    <w:rsid w:val="6F1C33CA"/>
    <w:rsid w:val="F3FA0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pPr>
      <w:spacing w:after="120"/>
      <w:jc w:val="left"/>
    </w:pPr>
    <w:rPr>
      <w:rFonts w:eastAsia="仿宋_GB2312"/>
      <w:sz w:val="32"/>
    </w:rPr>
  </w:style>
  <w:style w:type="paragraph" w:styleId="4">
    <w:name w:val="footer"/>
    <w:basedOn w:val="1"/>
    <w:qFormat/>
    <w:uiPriority w:val="99"/>
    <w:pPr>
      <w:tabs>
        <w:tab w:val="center" w:pos="4153"/>
        <w:tab w:val="right" w:pos="8306"/>
      </w:tabs>
      <w:snapToGrid w:val="0"/>
      <w:jc w:val="left"/>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2022-08-04T15:34:00Z</dcterms:created>
  <dc:creator>Administrator</dc:creator>
  <cp:lastModifiedBy>user</cp:lastModifiedBy>
  <dcterms:modified xsi:type="dcterms:W3CDTF">2022-08-10T10:14:39Z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D299839265A04C7DAA6CD4E62EDDFEDE</vt:lpwstr>
  </property>
</Properties>
</file>